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716C55" w:rsidRPr="007E1DEB" w:rsidTr="005F4377">
        <w:tc>
          <w:tcPr>
            <w:tcW w:w="9211" w:type="dxa"/>
          </w:tcPr>
          <w:p w:rsidR="00630A56" w:rsidRPr="007E1DEB" w:rsidRDefault="007E1DEB" w:rsidP="007E1DEB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E1DEB">
              <w:rPr>
                <w:rFonts w:ascii="Arial" w:hAnsi="Arial" w:cs="Arial"/>
                <w:b/>
                <w:sz w:val="28"/>
                <w:szCs w:val="28"/>
              </w:rPr>
              <w:t>RELATÓRIO CONAM-DF</w:t>
            </w:r>
          </w:p>
          <w:p w:rsidR="007E1DEB" w:rsidRPr="00516796" w:rsidRDefault="007E1DEB" w:rsidP="007E1DEB">
            <w:pPr>
              <w:tabs>
                <w:tab w:val="left" w:pos="1080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7E1DEB">
              <w:rPr>
                <w:rFonts w:ascii="Arial" w:hAnsi="Arial" w:cs="Arial"/>
                <w:b/>
                <w:sz w:val="28"/>
                <w:szCs w:val="28"/>
              </w:rPr>
              <w:t>Conselheiro:</w:t>
            </w:r>
            <w:proofErr w:type="gramStart"/>
            <w:r w:rsidRPr="007E1DE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1679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gramEnd"/>
            <w:r w:rsidR="00516796" w:rsidRPr="00516796">
              <w:rPr>
                <w:rFonts w:ascii="Arial" w:hAnsi="Arial" w:cs="Arial"/>
                <w:b/>
                <w:sz w:val="28"/>
                <w:szCs w:val="28"/>
              </w:rPr>
              <w:t>PAULO CELSO DOS REIS GOMES</w:t>
            </w:r>
          </w:p>
          <w:p w:rsidR="00630A56" w:rsidRPr="007E1DEB" w:rsidRDefault="00630A56" w:rsidP="00630A5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DEB">
              <w:rPr>
                <w:rFonts w:ascii="Arial" w:hAnsi="Arial" w:cs="Arial"/>
                <w:b/>
                <w:sz w:val="28"/>
                <w:szCs w:val="28"/>
              </w:rPr>
              <w:t xml:space="preserve">REFERÊNCIA: </w:t>
            </w:r>
            <w:r w:rsidRPr="007E1DEB">
              <w:rPr>
                <w:rFonts w:ascii="Arial" w:hAnsi="Arial" w:cs="Arial"/>
                <w:sz w:val="28"/>
                <w:szCs w:val="28"/>
              </w:rPr>
              <w:t>PROCESSO Nº. 191.000.756/1992</w:t>
            </w:r>
          </w:p>
          <w:p w:rsidR="00630A56" w:rsidRPr="007E1DEB" w:rsidRDefault="00630A56" w:rsidP="00630A5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DEB">
              <w:rPr>
                <w:rFonts w:ascii="Arial" w:hAnsi="Arial" w:cs="Arial"/>
                <w:b/>
                <w:sz w:val="28"/>
                <w:szCs w:val="28"/>
              </w:rPr>
              <w:t xml:space="preserve">INTERESSADO: </w:t>
            </w:r>
            <w:r w:rsidR="007E1DEB" w:rsidRPr="007E1DEB">
              <w:rPr>
                <w:rFonts w:ascii="Arial" w:hAnsi="Arial" w:cs="Arial"/>
                <w:b/>
                <w:sz w:val="28"/>
                <w:szCs w:val="28"/>
              </w:rPr>
              <w:t>CODHAB</w:t>
            </w:r>
          </w:p>
          <w:p w:rsidR="00716C55" w:rsidRPr="007E1DEB" w:rsidRDefault="00630A56" w:rsidP="004B6E1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E1DEB">
              <w:rPr>
                <w:rFonts w:ascii="Arial" w:hAnsi="Arial" w:cs="Arial"/>
                <w:b/>
                <w:sz w:val="28"/>
                <w:szCs w:val="28"/>
              </w:rPr>
              <w:t xml:space="preserve">ASSUNTO: </w:t>
            </w:r>
            <w:r w:rsidRPr="007E1DEB">
              <w:rPr>
                <w:rFonts w:ascii="Arial" w:hAnsi="Arial" w:cs="Arial"/>
                <w:sz w:val="28"/>
                <w:szCs w:val="28"/>
              </w:rPr>
              <w:t>LICENCIAMENTO AMBIENTAL DE SÃO SEBASTIÃO – URB 114/09</w:t>
            </w:r>
            <w:r w:rsidR="004B6E10">
              <w:rPr>
                <w:rFonts w:ascii="Arial" w:hAnsi="Arial" w:cs="Arial"/>
                <w:sz w:val="28"/>
                <w:szCs w:val="28"/>
              </w:rPr>
              <w:t xml:space="preserve"> - Á</w:t>
            </w:r>
            <w:r w:rsidR="004B6E10" w:rsidRPr="007E1DEB">
              <w:rPr>
                <w:rFonts w:ascii="Arial" w:hAnsi="Arial" w:cs="Arial"/>
                <w:sz w:val="28"/>
                <w:szCs w:val="28"/>
              </w:rPr>
              <w:t xml:space="preserve">rea de </w:t>
            </w:r>
            <w:r w:rsidR="004B6E10" w:rsidRPr="007E1DEB">
              <w:rPr>
                <w:rFonts w:ascii="Arial" w:hAnsi="Arial" w:cs="Arial"/>
                <w:bCs/>
                <w:sz w:val="28"/>
                <w:szCs w:val="28"/>
              </w:rPr>
              <w:t xml:space="preserve">435,3878 </w:t>
            </w:r>
            <w:r w:rsidR="0058208A">
              <w:rPr>
                <w:rFonts w:ascii="Arial" w:hAnsi="Arial" w:cs="Arial"/>
                <w:sz w:val="28"/>
                <w:szCs w:val="28"/>
              </w:rPr>
              <w:t xml:space="preserve">ha - </w:t>
            </w:r>
            <w:r w:rsidR="0058208A" w:rsidRPr="0058208A">
              <w:rPr>
                <w:rFonts w:ascii="Arial" w:hAnsi="Arial" w:cs="Arial"/>
                <w:sz w:val="28"/>
                <w:szCs w:val="28"/>
              </w:rPr>
              <w:t>82 habitantes/hectare</w:t>
            </w:r>
            <w:r w:rsidR="0058208A">
              <w:rPr>
                <w:rFonts w:ascii="Arial" w:hAnsi="Arial" w:cs="Arial"/>
                <w:sz w:val="28"/>
                <w:szCs w:val="28"/>
              </w:rPr>
              <w:t xml:space="preserve"> – Lote 250 m2</w:t>
            </w:r>
          </w:p>
        </w:tc>
      </w:tr>
    </w:tbl>
    <w:p w:rsidR="00630A56" w:rsidRPr="007E1DEB" w:rsidRDefault="00630A56" w:rsidP="00630A56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7E1DEB">
        <w:rPr>
          <w:rFonts w:ascii="Arial" w:hAnsi="Arial" w:cs="Arial"/>
          <w:b/>
          <w:sz w:val="28"/>
          <w:szCs w:val="28"/>
        </w:rPr>
        <w:t>I - APRESENTAÇÃO</w:t>
      </w:r>
    </w:p>
    <w:p w:rsidR="00630A56" w:rsidRPr="007E1DEB" w:rsidRDefault="007E1DEB" w:rsidP="007E1DEB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ab/>
      </w:r>
      <w:r w:rsidR="00630A56" w:rsidRPr="007E1DEB">
        <w:rPr>
          <w:rFonts w:ascii="Arial" w:hAnsi="Arial" w:cs="Arial"/>
          <w:sz w:val="28"/>
          <w:szCs w:val="28"/>
        </w:rPr>
        <w:t xml:space="preserve">Este parecer tem por objetivo subsidiar </w:t>
      </w:r>
      <w:r w:rsidRPr="007E1DEB">
        <w:rPr>
          <w:rFonts w:ascii="Arial" w:hAnsi="Arial" w:cs="Arial"/>
          <w:sz w:val="28"/>
          <w:szCs w:val="28"/>
        </w:rPr>
        <w:t>o Conselho de Meio Ambiente do Distrito Federal – CONAM-DF</w:t>
      </w:r>
      <w:r w:rsidR="00630A56" w:rsidRPr="007E1DEB">
        <w:rPr>
          <w:rFonts w:ascii="Arial" w:hAnsi="Arial" w:cs="Arial"/>
          <w:sz w:val="28"/>
          <w:szCs w:val="28"/>
        </w:rPr>
        <w:t xml:space="preserve"> na decisão para </w:t>
      </w:r>
      <w:r w:rsidRPr="007E1DEB">
        <w:rPr>
          <w:rFonts w:ascii="Arial" w:hAnsi="Arial" w:cs="Arial"/>
          <w:sz w:val="28"/>
          <w:szCs w:val="28"/>
        </w:rPr>
        <w:t>continuidade do Processo Nº. 191.000.756/</w:t>
      </w:r>
      <w:proofErr w:type="gramStart"/>
      <w:r w:rsidRPr="007E1DEB">
        <w:rPr>
          <w:rFonts w:ascii="Arial" w:hAnsi="Arial" w:cs="Arial"/>
          <w:sz w:val="28"/>
          <w:szCs w:val="28"/>
        </w:rPr>
        <w:t xml:space="preserve">1992, com vistas à expedição da </w:t>
      </w:r>
      <w:r w:rsidR="00630A56" w:rsidRPr="007E1DEB">
        <w:rPr>
          <w:rFonts w:ascii="Arial" w:hAnsi="Arial" w:cs="Arial"/>
          <w:sz w:val="28"/>
          <w:szCs w:val="28"/>
        </w:rPr>
        <w:t>Licença de</w:t>
      </w:r>
      <w:r w:rsidRPr="007E1DEB">
        <w:rPr>
          <w:rFonts w:ascii="Arial" w:hAnsi="Arial" w:cs="Arial"/>
          <w:sz w:val="28"/>
          <w:szCs w:val="28"/>
        </w:rPr>
        <w:t xml:space="preserve"> </w:t>
      </w:r>
      <w:r w:rsidR="00630A56" w:rsidRPr="007E1DEB">
        <w:rPr>
          <w:rFonts w:ascii="Arial" w:hAnsi="Arial" w:cs="Arial"/>
          <w:sz w:val="28"/>
          <w:szCs w:val="28"/>
        </w:rPr>
        <w:t>Instalação - LI Corretiva</w:t>
      </w:r>
      <w:proofErr w:type="gramEnd"/>
      <w:r w:rsidR="00630A56" w:rsidRPr="007E1DEB">
        <w:rPr>
          <w:rFonts w:ascii="Arial" w:hAnsi="Arial" w:cs="Arial"/>
          <w:sz w:val="28"/>
          <w:szCs w:val="28"/>
        </w:rPr>
        <w:t xml:space="preserve"> para o núcleo urbano central, consolidado, de São Sebastião, RA-XIV objeto da URB-114/09, correspondendo aos seguintes </w:t>
      </w:r>
      <w:proofErr w:type="gramStart"/>
      <w:r w:rsidR="00630A56" w:rsidRPr="007E1DEB">
        <w:rPr>
          <w:rFonts w:ascii="Arial" w:hAnsi="Arial" w:cs="Arial"/>
          <w:sz w:val="28"/>
          <w:szCs w:val="28"/>
        </w:rPr>
        <w:t>bairros</w:t>
      </w:r>
      <w:proofErr w:type="gramEnd"/>
      <w:r w:rsidR="00630A56" w:rsidRPr="007E1DEB">
        <w:rPr>
          <w:rFonts w:ascii="Arial" w:hAnsi="Arial" w:cs="Arial"/>
          <w:sz w:val="28"/>
          <w:szCs w:val="28"/>
        </w:rPr>
        <w:t>: Residencial Oeste, Morro Azul - quadras 01, 02 e 03, São Bartolomeu, Tradicional, Centro, Bonsucesso/ADE, Bora Manso, Parque Mato Grande, Parque Caminho das Águas e Área de Parcelamento Futuro - APF.</w:t>
      </w:r>
    </w:p>
    <w:p w:rsidR="00630A56" w:rsidRPr="007E1DEB" w:rsidRDefault="00630A56" w:rsidP="00630A56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7E1DEB">
        <w:rPr>
          <w:rFonts w:ascii="Arial" w:hAnsi="Arial" w:cs="Arial"/>
          <w:b/>
          <w:sz w:val="28"/>
          <w:szCs w:val="28"/>
        </w:rPr>
        <w:t>II – CONSIDERAÇÕES SOBRE A LOCALIZAÇÃO E SEUS ASPECTOS LEGAIS</w:t>
      </w:r>
    </w:p>
    <w:p w:rsidR="00630A56" w:rsidRDefault="00630A56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A </w:t>
      </w:r>
      <w:r w:rsidR="00217B90">
        <w:rPr>
          <w:rFonts w:ascii="Arial" w:hAnsi="Arial" w:cs="Arial"/>
          <w:sz w:val="28"/>
          <w:szCs w:val="28"/>
        </w:rPr>
        <w:t>área</w:t>
      </w:r>
      <w:r w:rsidRPr="007E1DEB">
        <w:rPr>
          <w:rFonts w:ascii="Arial" w:hAnsi="Arial" w:cs="Arial"/>
          <w:sz w:val="28"/>
          <w:szCs w:val="28"/>
        </w:rPr>
        <w:t xml:space="preserve"> objeto do presente </w:t>
      </w:r>
      <w:r w:rsidR="00516796">
        <w:rPr>
          <w:rFonts w:ascii="Arial" w:hAnsi="Arial" w:cs="Arial"/>
          <w:sz w:val="28"/>
          <w:szCs w:val="28"/>
        </w:rPr>
        <w:t>relato</w:t>
      </w:r>
      <w:r w:rsidRPr="007E1DEB">
        <w:rPr>
          <w:rFonts w:ascii="Arial" w:hAnsi="Arial" w:cs="Arial"/>
          <w:sz w:val="28"/>
          <w:szCs w:val="28"/>
        </w:rPr>
        <w:t xml:space="preserve"> está localizada no núcleo urbano consolidado da Região Administrativa de São Sebastião – RA XIV, objeto da URB-114/09, conforme indicado na poligonal traçada nas figuras 01 e 02. </w:t>
      </w:r>
      <w:r w:rsidR="00DE4029">
        <w:rPr>
          <w:rFonts w:ascii="Arial" w:hAnsi="Arial" w:cs="Arial"/>
          <w:sz w:val="28"/>
          <w:szCs w:val="28"/>
        </w:rPr>
        <w:tab/>
      </w:r>
      <w:r w:rsidR="00DE4029">
        <w:rPr>
          <w:rFonts w:ascii="Arial" w:hAnsi="Arial" w:cs="Arial"/>
          <w:sz w:val="28"/>
          <w:szCs w:val="28"/>
        </w:rPr>
        <w:tab/>
      </w:r>
      <w:r w:rsidR="00DE4029">
        <w:rPr>
          <w:rFonts w:ascii="Arial" w:hAnsi="Arial" w:cs="Arial"/>
          <w:sz w:val="24"/>
          <w:szCs w:val="24"/>
        </w:rPr>
        <w:t>Abaixo i</w:t>
      </w:r>
      <w:r w:rsidR="00DE4029" w:rsidRPr="00DE4029">
        <w:rPr>
          <w:rFonts w:ascii="Arial" w:hAnsi="Arial" w:cs="Arial"/>
          <w:sz w:val="24"/>
          <w:szCs w:val="24"/>
        </w:rPr>
        <w:t>magem da Região Administrativa de S. Sebastião</w:t>
      </w:r>
    </w:p>
    <w:p w:rsidR="005D69EC" w:rsidRPr="007E1DEB" w:rsidRDefault="006339D0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>
            <wp:extent cx="4927600" cy="2838450"/>
            <wp:effectExtent l="0" t="0" r="6350" b="0"/>
            <wp:docPr id="1" name="Imagem 11" descr="R:\INTRANET GRUPAR\PLANO DE TRABALHO 2013-2014\IS_São Sebastião\COMPESAÇÃO FLORESTAL\Multitemporal Sao Sebastiao (Anexos) (1)\4 -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R:\INTRANET GRUPAR\PLANO DE TRABALHO 2013-2014\IS_São Sebastião\COMPESAÇÃO FLORESTAL\Multitemporal Sao Sebastiao (Anexos) (1)\4 - 2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56" w:rsidRPr="005E00A2" w:rsidRDefault="001A5555" w:rsidP="007E1DE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1DEB">
        <w:rPr>
          <w:rFonts w:ascii="Arial" w:hAnsi="Arial" w:cs="Arial"/>
          <w:sz w:val="28"/>
          <w:szCs w:val="28"/>
        </w:rPr>
        <w:br w:type="page"/>
      </w:r>
      <w:r w:rsidR="006339D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3175</wp:posOffset>
            </wp:positionV>
            <wp:extent cx="5923280" cy="5191125"/>
            <wp:effectExtent l="0" t="0" r="1270" b="9525"/>
            <wp:wrapTopAndBottom/>
            <wp:docPr id="9" name="Imagem 7" descr="MDE_139_fig1_2_articul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MDE_139_fig1_2_articulaca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r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A56" w:rsidRPr="005E00A2">
        <w:rPr>
          <w:rFonts w:ascii="Arial" w:hAnsi="Arial" w:cs="Arial"/>
          <w:sz w:val="24"/>
          <w:szCs w:val="24"/>
        </w:rPr>
        <w:t xml:space="preserve">Figura 01: </w:t>
      </w:r>
      <w:proofErr w:type="gramStart"/>
      <w:r w:rsidR="00630A56" w:rsidRPr="005E00A2">
        <w:rPr>
          <w:rFonts w:ascii="Arial" w:hAnsi="Arial" w:cs="Arial"/>
          <w:sz w:val="24"/>
          <w:szCs w:val="24"/>
        </w:rPr>
        <w:t>evidencia</w:t>
      </w:r>
      <w:proofErr w:type="gramEnd"/>
      <w:r w:rsidR="00630A56" w:rsidRPr="005E00A2">
        <w:rPr>
          <w:rFonts w:ascii="Arial" w:hAnsi="Arial" w:cs="Arial"/>
          <w:sz w:val="24"/>
          <w:szCs w:val="24"/>
        </w:rPr>
        <w:t xml:space="preserve"> os quatro projetos urbanísticos de regularização entre os quais São Sebastião está dividido. A URB em questão, neste parecer, é a URB-114/09. (Fonte: imagem retirada do MDE-114/09, Parte A, folha 02/28).</w:t>
      </w:r>
    </w:p>
    <w:p w:rsidR="00630A56" w:rsidRPr="007E1DEB" w:rsidRDefault="00630A56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0A56" w:rsidRPr="007E1DEB" w:rsidRDefault="00630A56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0A56" w:rsidRPr="007E1DEB" w:rsidRDefault="00630A56" w:rsidP="00630A56">
      <w:pPr>
        <w:spacing w:after="0" w:line="360" w:lineRule="auto"/>
        <w:ind w:firstLine="709"/>
        <w:jc w:val="both"/>
        <w:rPr>
          <w:rFonts w:ascii="Arial" w:hAnsi="Arial" w:cs="Arial"/>
          <w:noProof/>
          <w:sz w:val="28"/>
          <w:szCs w:val="28"/>
        </w:rPr>
      </w:pPr>
    </w:p>
    <w:p w:rsidR="00630A56" w:rsidRPr="007E1DEB" w:rsidRDefault="006339D0" w:rsidP="00630A56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0400" cy="4711700"/>
            <wp:effectExtent l="0" t="0" r="0" b="0"/>
            <wp:docPr id="2" name="Imagem 10" descr="CROQUI_LOCACAO_2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CROQUI_LOCACAO_2 Mod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5" t="11873" r="17503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56" w:rsidRPr="005E00A2" w:rsidRDefault="00630A56" w:rsidP="00630A5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E00A2">
        <w:rPr>
          <w:rFonts w:ascii="Arial" w:hAnsi="Arial" w:cs="Arial"/>
          <w:sz w:val="24"/>
          <w:szCs w:val="24"/>
        </w:rPr>
        <w:t xml:space="preserve">Figura 02: evidencia a URB-114/09 e a composição de bairros incluídos na poligonal do projeto urbanístico. </w:t>
      </w:r>
      <w:proofErr w:type="gramStart"/>
      <w:r w:rsidRPr="005E00A2">
        <w:rPr>
          <w:rFonts w:ascii="Arial" w:hAnsi="Arial" w:cs="Arial"/>
          <w:sz w:val="24"/>
          <w:szCs w:val="24"/>
        </w:rPr>
        <w:t>Mostra</w:t>
      </w:r>
      <w:proofErr w:type="gramEnd"/>
      <w:r w:rsidRPr="005E00A2">
        <w:rPr>
          <w:rFonts w:ascii="Arial" w:hAnsi="Arial" w:cs="Arial"/>
          <w:sz w:val="24"/>
          <w:szCs w:val="24"/>
        </w:rPr>
        <w:t xml:space="preserve"> também os Córregos Bo</w:t>
      </w:r>
      <w:r w:rsidR="00516796">
        <w:rPr>
          <w:rFonts w:ascii="Arial" w:hAnsi="Arial" w:cs="Arial"/>
          <w:sz w:val="24"/>
          <w:szCs w:val="24"/>
        </w:rPr>
        <w:t>r</w:t>
      </w:r>
      <w:r w:rsidRPr="005E00A2">
        <w:rPr>
          <w:rFonts w:ascii="Arial" w:hAnsi="Arial" w:cs="Arial"/>
          <w:sz w:val="24"/>
          <w:szCs w:val="24"/>
        </w:rPr>
        <w:t>a Manso e Mato Grande</w:t>
      </w:r>
      <w:r w:rsidR="00516796">
        <w:rPr>
          <w:rFonts w:ascii="Arial" w:hAnsi="Arial" w:cs="Arial"/>
          <w:sz w:val="24"/>
          <w:szCs w:val="24"/>
        </w:rPr>
        <w:t>,</w:t>
      </w:r>
      <w:r w:rsidRPr="005E00A2">
        <w:rPr>
          <w:rFonts w:ascii="Arial" w:hAnsi="Arial" w:cs="Arial"/>
          <w:sz w:val="24"/>
          <w:szCs w:val="24"/>
        </w:rPr>
        <w:t xml:space="preserve"> contribuintes do Ribeirão Santo Antônio da Papuda. (Fonte: imagem retirada do MDE-114/09, Parte B, folha 02/43).</w:t>
      </w:r>
    </w:p>
    <w:p w:rsidR="00630A56" w:rsidRPr="007E1DEB" w:rsidRDefault="00630A56" w:rsidP="00630A5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30A56" w:rsidRPr="007E1DEB" w:rsidRDefault="00630A56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De acordo com o Plano Diretor de Ordenamento Territorial – PDOT (Lei Complementar nº. 803/2009, atualizada pela Lei Complementar nº 854/2012), a poligonal da URB-114/09 </w:t>
      </w:r>
      <w:r w:rsidRPr="007E1DEB">
        <w:rPr>
          <w:rFonts w:ascii="Arial" w:hAnsi="Arial" w:cs="Arial"/>
          <w:b/>
          <w:sz w:val="28"/>
          <w:szCs w:val="28"/>
          <w:u w:val="single"/>
        </w:rPr>
        <w:t xml:space="preserve">está em </w:t>
      </w:r>
      <w:proofErr w:type="spellStart"/>
      <w:r w:rsidRPr="007E1DEB">
        <w:rPr>
          <w:rFonts w:ascii="Arial" w:hAnsi="Arial" w:cs="Arial"/>
          <w:b/>
          <w:sz w:val="28"/>
          <w:szCs w:val="28"/>
          <w:u w:val="single"/>
        </w:rPr>
        <w:t>macrozona</w:t>
      </w:r>
      <w:proofErr w:type="spellEnd"/>
      <w:r w:rsidRPr="007E1DEB">
        <w:rPr>
          <w:rFonts w:ascii="Arial" w:hAnsi="Arial" w:cs="Arial"/>
          <w:b/>
          <w:sz w:val="28"/>
          <w:szCs w:val="28"/>
          <w:u w:val="single"/>
        </w:rPr>
        <w:t xml:space="preserve"> urbana, na Zona Urbana de Uso Controlado II – ZUUC</w:t>
      </w:r>
      <w:r w:rsidRPr="007E1DEB">
        <w:rPr>
          <w:rFonts w:ascii="Arial" w:hAnsi="Arial" w:cs="Arial"/>
          <w:sz w:val="28"/>
          <w:szCs w:val="28"/>
        </w:rPr>
        <w:t xml:space="preserve"> II (Art. 71), sendo a área considerada como “</w:t>
      </w:r>
      <w:r w:rsidRPr="007E1DEB">
        <w:rPr>
          <w:rFonts w:ascii="Arial" w:hAnsi="Arial" w:cs="Arial"/>
          <w:b/>
          <w:sz w:val="28"/>
          <w:szCs w:val="28"/>
          <w:u w:val="single"/>
        </w:rPr>
        <w:t>Área de Regularização de Interesse Social” – ARIS (Art. 127</w:t>
      </w:r>
      <w:r w:rsidRPr="007E1DEB">
        <w:rPr>
          <w:rFonts w:ascii="Arial" w:hAnsi="Arial" w:cs="Arial"/>
          <w:sz w:val="28"/>
          <w:szCs w:val="28"/>
        </w:rPr>
        <w:t>), coerente com a previsão legal contida na Lei Complementar Federal nº 11.977/09 (</w:t>
      </w:r>
      <w:r w:rsidR="00516796">
        <w:rPr>
          <w:rFonts w:ascii="Arial" w:hAnsi="Arial" w:cs="Arial"/>
          <w:sz w:val="28"/>
          <w:szCs w:val="28"/>
        </w:rPr>
        <w:t>“</w:t>
      </w:r>
      <w:r w:rsidRPr="007E1DEB">
        <w:rPr>
          <w:rFonts w:ascii="Arial" w:hAnsi="Arial" w:cs="Arial"/>
          <w:sz w:val="28"/>
          <w:szCs w:val="28"/>
        </w:rPr>
        <w:t>Lei Minha Casa, Minha Vida</w:t>
      </w:r>
      <w:r w:rsidR="00516796">
        <w:rPr>
          <w:rFonts w:ascii="Arial" w:hAnsi="Arial" w:cs="Arial"/>
          <w:sz w:val="28"/>
          <w:szCs w:val="28"/>
        </w:rPr>
        <w:t>”</w:t>
      </w:r>
      <w:r w:rsidRPr="007E1DEB">
        <w:rPr>
          <w:rFonts w:ascii="Arial" w:hAnsi="Arial" w:cs="Arial"/>
          <w:sz w:val="28"/>
          <w:szCs w:val="28"/>
        </w:rPr>
        <w:t>) e a Lei Complementar Federal nº 12.424/11 que alterou a primeira.</w:t>
      </w:r>
    </w:p>
    <w:p w:rsidR="00630A56" w:rsidRPr="007E1DEB" w:rsidRDefault="001A5555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br w:type="page"/>
      </w:r>
      <w:r w:rsidR="00630A56" w:rsidRPr="007E1DEB">
        <w:rPr>
          <w:rFonts w:ascii="Arial" w:hAnsi="Arial" w:cs="Arial"/>
          <w:sz w:val="28"/>
          <w:szCs w:val="28"/>
        </w:rPr>
        <w:lastRenderedPageBreak/>
        <w:t>O contexto legal da ZUUC II, contido no PDOT, estabelece que: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i/>
          <w:sz w:val="28"/>
          <w:szCs w:val="28"/>
        </w:rPr>
      </w:pPr>
      <w:proofErr w:type="gramStart"/>
      <w:r w:rsidRPr="007E1DEB">
        <w:rPr>
          <w:rFonts w:ascii="Arial" w:hAnsi="Arial" w:cs="Arial"/>
          <w:b/>
          <w:bCs/>
          <w:i/>
          <w:sz w:val="28"/>
          <w:szCs w:val="28"/>
        </w:rPr>
        <w:t>“Art. 71.</w:t>
      </w:r>
      <w:proofErr w:type="gramEnd"/>
      <w:r w:rsidRPr="007E1DEB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7E1DEB">
        <w:rPr>
          <w:rFonts w:ascii="Arial" w:hAnsi="Arial" w:cs="Arial"/>
          <w:i/>
          <w:sz w:val="28"/>
          <w:szCs w:val="28"/>
        </w:rPr>
        <w:t xml:space="preserve">A Zona Urbana de Uso Controlado II deverá compatibilizar o uso urbano com a conservação dos recursos naturais, por meio da recuperação ambiental e da proteção dos recursos hídricos, de acordo com as seguintes diretrizes: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i/>
          <w:sz w:val="28"/>
          <w:szCs w:val="28"/>
        </w:rPr>
      </w:pPr>
      <w:r w:rsidRPr="007E1DEB">
        <w:rPr>
          <w:rFonts w:ascii="Arial" w:hAnsi="Arial" w:cs="Arial"/>
          <w:i/>
          <w:sz w:val="28"/>
          <w:szCs w:val="28"/>
        </w:rPr>
        <w:t xml:space="preserve">I – </w:t>
      </w:r>
      <w:r w:rsidRPr="005E00A2">
        <w:rPr>
          <w:rFonts w:ascii="Arial" w:hAnsi="Arial" w:cs="Arial"/>
          <w:b/>
          <w:i/>
          <w:sz w:val="28"/>
          <w:szCs w:val="28"/>
        </w:rPr>
        <w:t xml:space="preserve">permitir o uso predominantemente habitacional de baixa e média densidade demográfica, com comércio, prestação de serviços, atividades institucionais e equipamentos públicos e comunitários inerentes à ocupação </w:t>
      </w:r>
      <w:proofErr w:type="gramStart"/>
      <w:r w:rsidRPr="005E00A2">
        <w:rPr>
          <w:rFonts w:ascii="Arial" w:hAnsi="Arial" w:cs="Arial"/>
          <w:b/>
          <w:i/>
          <w:sz w:val="28"/>
          <w:szCs w:val="28"/>
        </w:rPr>
        <w:t>urbana</w:t>
      </w:r>
      <w:r w:rsidRPr="007E1DEB">
        <w:rPr>
          <w:rFonts w:ascii="Arial" w:hAnsi="Arial" w:cs="Arial"/>
          <w:i/>
          <w:sz w:val="28"/>
          <w:szCs w:val="28"/>
        </w:rPr>
        <w:t>, respeitadas</w:t>
      </w:r>
      <w:proofErr w:type="gramEnd"/>
      <w:r w:rsidRPr="007E1DEB">
        <w:rPr>
          <w:rFonts w:ascii="Arial" w:hAnsi="Arial" w:cs="Arial"/>
          <w:i/>
          <w:sz w:val="28"/>
          <w:szCs w:val="28"/>
        </w:rPr>
        <w:t xml:space="preserve"> as restrições de uso determinadas para o Setor Militar Complementar e o Setor de Múltiplas Atividades Norte;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i/>
          <w:sz w:val="28"/>
          <w:szCs w:val="28"/>
        </w:rPr>
      </w:pPr>
      <w:r w:rsidRPr="007E1DEB">
        <w:rPr>
          <w:rFonts w:ascii="Arial" w:hAnsi="Arial" w:cs="Arial"/>
          <w:i/>
          <w:sz w:val="28"/>
          <w:szCs w:val="28"/>
        </w:rPr>
        <w:t xml:space="preserve">II – </w:t>
      </w:r>
      <w:r w:rsidRPr="005E00A2">
        <w:rPr>
          <w:rFonts w:ascii="Arial" w:hAnsi="Arial" w:cs="Arial"/>
          <w:b/>
          <w:i/>
          <w:sz w:val="28"/>
          <w:szCs w:val="28"/>
        </w:rPr>
        <w:t>respeitar o plano de manejo ou zoneamento referente às Unidades de Conservação englobadas por essa zona e demais legislação pertinente</w:t>
      </w:r>
      <w:r w:rsidRPr="007E1DEB">
        <w:rPr>
          <w:rFonts w:ascii="Arial" w:hAnsi="Arial" w:cs="Arial"/>
          <w:i/>
          <w:sz w:val="28"/>
          <w:szCs w:val="28"/>
        </w:rPr>
        <w:t xml:space="preserve">;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i/>
          <w:sz w:val="28"/>
          <w:szCs w:val="28"/>
        </w:rPr>
      </w:pPr>
      <w:r w:rsidRPr="007E1DEB">
        <w:rPr>
          <w:rFonts w:ascii="Arial" w:hAnsi="Arial" w:cs="Arial"/>
          <w:i/>
          <w:sz w:val="28"/>
          <w:szCs w:val="28"/>
        </w:rPr>
        <w:t xml:space="preserve">III – </w:t>
      </w:r>
      <w:r w:rsidRPr="005E00A2">
        <w:rPr>
          <w:rFonts w:ascii="Arial" w:hAnsi="Arial" w:cs="Arial"/>
          <w:b/>
          <w:i/>
          <w:sz w:val="28"/>
          <w:szCs w:val="28"/>
        </w:rPr>
        <w:t>regularizar o uso e a ocupação do solo dos assentamentos informais inseridos nessa zona, considerando-se a questão urbanística, ambiental, de salubridade ambiental, edilícia e fundiária</w:t>
      </w:r>
      <w:r w:rsidRPr="007E1DEB">
        <w:rPr>
          <w:rFonts w:ascii="Arial" w:hAnsi="Arial" w:cs="Arial"/>
          <w:i/>
          <w:sz w:val="28"/>
          <w:szCs w:val="28"/>
        </w:rPr>
        <w:t xml:space="preserve">;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i/>
          <w:sz w:val="28"/>
          <w:szCs w:val="28"/>
        </w:rPr>
      </w:pPr>
      <w:r w:rsidRPr="007E1DEB">
        <w:rPr>
          <w:rFonts w:ascii="Arial" w:hAnsi="Arial" w:cs="Arial"/>
          <w:i/>
          <w:sz w:val="28"/>
          <w:szCs w:val="28"/>
        </w:rPr>
        <w:t xml:space="preserve">IV – qualificar e recuperar áreas degradadas ocupadas por assentamentos informais de modo a minimizar danos ambientais;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i/>
          <w:sz w:val="28"/>
          <w:szCs w:val="28"/>
        </w:rPr>
      </w:pPr>
      <w:r w:rsidRPr="007E1DEB">
        <w:rPr>
          <w:rFonts w:ascii="Arial" w:hAnsi="Arial" w:cs="Arial"/>
          <w:i/>
          <w:sz w:val="28"/>
          <w:szCs w:val="28"/>
        </w:rPr>
        <w:t xml:space="preserve">V – adotar medidas de controle ambiental voltadas para o entorno imediato das Unidades de Conservação de Proteção Integral e as Áreas de Relevante Interesse Ecológico inseridas nessa zona, visando à manutenção de sua integridade ecológica;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i/>
          <w:sz w:val="28"/>
          <w:szCs w:val="28"/>
        </w:rPr>
      </w:pPr>
      <w:proofErr w:type="gramStart"/>
      <w:r w:rsidRPr="007E1DEB">
        <w:rPr>
          <w:rFonts w:ascii="Arial" w:hAnsi="Arial" w:cs="Arial"/>
          <w:i/>
          <w:sz w:val="28"/>
          <w:szCs w:val="28"/>
        </w:rPr>
        <w:lastRenderedPageBreak/>
        <w:t>VI – adotar medidas de controle da propagação de doenças de veiculação</w:t>
      </w:r>
      <w:r w:rsidR="00A80498" w:rsidRPr="007E1DEB">
        <w:rPr>
          <w:rFonts w:ascii="Arial" w:hAnsi="Arial" w:cs="Arial"/>
          <w:i/>
          <w:sz w:val="28"/>
          <w:szCs w:val="28"/>
        </w:rPr>
        <w:t xml:space="preserve"> por fatores ambientais</w:t>
      </w:r>
      <w:r w:rsidRPr="007E1DEB">
        <w:rPr>
          <w:rFonts w:ascii="Arial" w:hAnsi="Arial" w:cs="Arial"/>
          <w:i/>
          <w:sz w:val="28"/>
          <w:szCs w:val="28"/>
        </w:rPr>
        <w:t>”</w:t>
      </w:r>
      <w:proofErr w:type="gramEnd"/>
      <w:r w:rsidR="00A80498" w:rsidRPr="007E1DEB">
        <w:rPr>
          <w:rFonts w:ascii="Arial" w:hAnsi="Arial" w:cs="Arial"/>
          <w:i/>
          <w:sz w:val="28"/>
          <w:szCs w:val="28"/>
        </w:rPr>
        <w:t>.</w:t>
      </w:r>
    </w:p>
    <w:p w:rsidR="00630A56" w:rsidRPr="007E1DEB" w:rsidRDefault="00630A56" w:rsidP="00630A56">
      <w:pPr>
        <w:tabs>
          <w:tab w:val="num" w:pos="1418"/>
        </w:tabs>
        <w:spacing w:after="0" w:line="360" w:lineRule="auto"/>
        <w:ind w:left="1418" w:right="1274"/>
        <w:jc w:val="both"/>
        <w:rPr>
          <w:rFonts w:ascii="Arial" w:hAnsi="Arial" w:cs="Arial"/>
          <w:i/>
          <w:sz w:val="28"/>
          <w:szCs w:val="28"/>
        </w:rPr>
      </w:pPr>
    </w:p>
    <w:p w:rsidR="00630A56" w:rsidRPr="007E1DEB" w:rsidRDefault="00630A56" w:rsidP="005E00A2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7E1DEB">
        <w:rPr>
          <w:rFonts w:ascii="Arial" w:hAnsi="Arial" w:cs="Arial"/>
          <w:bCs/>
          <w:sz w:val="28"/>
          <w:szCs w:val="28"/>
        </w:rPr>
        <w:t>Na mesma Lei Complementar, o Núcleo Urbano de São Sebastião fica elencado como Área de Regularização de Interesse Social, conforme redação abaixo: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proofErr w:type="gramStart"/>
      <w:r w:rsidRPr="007E1DEB">
        <w:rPr>
          <w:rFonts w:ascii="Arial" w:hAnsi="Arial" w:cs="Arial"/>
          <w:b/>
          <w:bCs/>
          <w:i/>
          <w:sz w:val="28"/>
          <w:szCs w:val="28"/>
        </w:rPr>
        <w:t>“Art. 127.</w:t>
      </w:r>
      <w:proofErr w:type="gramEnd"/>
      <w:r w:rsidRPr="007E1DEB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7E1DEB">
        <w:rPr>
          <w:rFonts w:ascii="Arial" w:hAnsi="Arial" w:cs="Arial"/>
          <w:bCs/>
          <w:i/>
          <w:sz w:val="28"/>
          <w:szCs w:val="28"/>
        </w:rPr>
        <w:t xml:space="preserve">As Áreas de Regularização de Interesse Social terão prioridade na regularização fundiária promovida pelo Poder Público.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 xml:space="preserve">Parágrafo único. São considerados Áreas de Regularização de Interesse Social os assentamentos a seguir, além dos descritos no Anexo II, Mapa </w:t>
      </w:r>
      <w:proofErr w:type="gramStart"/>
      <w:r w:rsidRPr="007E1DEB">
        <w:rPr>
          <w:rFonts w:ascii="Arial" w:hAnsi="Arial" w:cs="Arial"/>
          <w:bCs/>
          <w:i/>
          <w:sz w:val="28"/>
          <w:szCs w:val="28"/>
        </w:rPr>
        <w:t>2</w:t>
      </w:r>
      <w:proofErr w:type="gramEnd"/>
      <w:r w:rsidRPr="007E1DEB">
        <w:rPr>
          <w:rFonts w:ascii="Arial" w:hAnsi="Arial" w:cs="Arial"/>
          <w:bCs/>
          <w:i/>
          <w:sz w:val="28"/>
          <w:szCs w:val="28"/>
        </w:rPr>
        <w:t xml:space="preserve">, Tabelas 2A, 2B e 2C: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...</w:t>
      </w:r>
    </w:p>
    <w:p w:rsidR="00630A56" w:rsidRDefault="00630A56" w:rsidP="003E040B">
      <w:pPr>
        <w:tabs>
          <w:tab w:val="num" w:pos="1276"/>
        </w:tabs>
        <w:spacing w:after="240" w:line="360" w:lineRule="auto"/>
        <w:ind w:left="1276" w:right="1133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5E00A2">
        <w:rPr>
          <w:rFonts w:ascii="Arial" w:hAnsi="Arial" w:cs="Arial"/>
          <w:b/>
          <w:bCs/>
          <w:i/>
          <w:sz w:val="28"/>
          <w:szCs w:val="28"/>
        </w:rPr>
        <w:t xml:space="preserve"> II – Núcleo Urbano de São Sebastião, na Região Administrativa de São Sebastião (redação dada pela LC 854/12 (</w:t>
      </w:r>
      <w:proofErr w:type="gramStart"/>
      <w:r w:rsidRPr="005E00A2">
        <w:rPr>
          <w:rFonts w:ascii="Arial" w:hAnsi="Arial" w:cs="Arial"/>
          <w:b/>
          <w:bCs/>
          <w:i/>
          <w:sz w:val="28"/>
          <w:szCs w:val="28"/>
        </w:rPr>
        <w:t>...)”</w:t>
      </w:r>
      <w:proofErr w:type="gramEnd"/>
    </w:p>
    <w:p w:rsidR="005E00A2" w:rsidRPr="005E00A2" w:rsidRDefault="005E00A2" w:rsidP="003E040B">
      <w:pPr>
        <w:tabs>
          <w:tab w:val="num" w:pos="1276"/>
        </w:tabs>
        <w:spacing w:after="240" w:line="360" w:lineRule="auto"/>
        <w:ind w:left="1276" w:right="1133"/>
        <w:jc w:val="both"/>
        <w:rPr>
          <w:rFonts w:ascii="Arial" w:hAnsi="Arial" w:cs="Arial"/>
          <w:b/>
          <w:bCs/>
          <w:sz w:val="28"/>
          <w:szCs w:val="28"/>
        </w:rPr>
      </w:pPr>
    </w:p>
    <w:p w:rsidR="005E00A2" w:rsidRDefault="005E00A2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Observa-se</w:t>
      </w:r>
      <w:r w:rsidR="0051679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portanto</w:t>
      </w:r>
      <w:r w:rsidR="00217B90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que a regularização da Região Administrativa </w:t>
      </w:r>
      <w:r w:rsidRPr="005E00A2">
        <w:rPr>
          <w:rFonts w:ascii="Arial" w:hAnsi="Arial" w:cs="Arial"/>
          <w:b/>
          <w:sz w:val="28"/>
          <w:szCs w:val="28"/>
        </w:rPr>
        <w:t>encontra-se em consonância com o PDOT e suas alterações</w:t>
      </w:r>
      <w:r>
        <w:rPr>
          <w:rFonts w:ascii="Arial" w:hAnsi="Arial" w:cs="Arial"/>
          <w:sz w:val="28"/>
          <w:szCs w:val="28"/>
        </w:rPr>
        <w:t>.</w:t>
      </w:r>
    </w:p>
    <w:p w:rsidR="005E00A2" w:rsidRDefault="005E00A2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0A56" w:rsidRPr="007E1DEB" w:rsidRDefault="00630A56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Do ponto de vista ambiental, o loteamento está localizado na APA da Bacia do Rio São Bartolomeu, cujo zoneamento ambiental foi estabelecido pela Lei Distrital n° 1.149/96. De acordo com a referida Lei, o Projeto de Urbanismo retratado na URB-114/09 está predominantemente sobre Zona de Uso Intensivo </w:t>
      </w:r>
      <w:proofErr w:type="gramStart"/>
      <w:r w:rsidRPr="007E1DEB">
        <w:rPr>
          <w:rFonts w:ascii="Arial" w:hAnsi="Arial" w:cs="Arial"/>
          <w:sz w:val="28"/>
          <w:szCs w:val="28"/>
        </w:rPr>
        <w:t>1</w:t>
      </w:r>
      <w:proofErr w:type="gramEnd"/>
      <w:r w:rsidRPr="007E1DEB">
        <w:rPr>
          <w:rFonts w:ascii="Arial" w:hAnsi="Arial" w:cs="Arial"/>
          <w:sz w:val="28"/>
          <w:szCs w:val="28"/>
        </w:rPr>
        <w:t xml:space="preserve"> – ZUI 1, possui uma parte significativa em Zona de Uso Restrito - ZUR e uma porção insignificante em Zona de Uso Agropecuário 1 – ZUA 1, conforme figura 3. Em relação às atividades permitidas em tais zonas, a Lei Distrital nº 1.149/96 estabelece o seguinte:</w:t>
      </w:r>
    </w:p>
    <w:p w:rsidR="003E040B" w:rsidRPr="007E1DEB" w:rsidRDefault="003E040B" w:rsidP="00630A56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proofErr w:type="gramStart"/>
      <w:r w:rsidRPr="007E1DEB">
        <w:rPr>
          <w:rFonts w:ascii="Arial" w:hAnsi="Arial" w:cs="Arial"/>
          <w:b/>
          <w:bCs/>
          <w:i/>
          <w:sz w:val="28"/>
          <w:szCs w:val="28"/>
        </w:rPr>
        <w:t>“Art. 3º</w:t>
      </w:r>
      <w:r w:rsidRPr="007E1DEB">
        <w:rPr>
          <w:rFonts w:ascii="Arial" w:hAnsi="Arial" w:cs="Arial"/>
          <w:bCs/>
          <w:i/>
          <w:sz w:val="28"/>
          <w:szCs w:val="28"/>
        </w:rPr>
        <w:t xml:space="preserve"> Fica o território da APA da bacia do Rio São Bartolomeu dividido em nove zonas, a seguir denominadas, caracterizadas e com os usos permitidos especificados: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proofErr w:type="gramEnd"/>
      <w:r w:rsidRPr="007E1DEB">
        <w:rPr>
          <w:rFonts w:ascii="Arial" w:hAnsi="Arial" w:cs="Arial"/>
          <w:bCs/>
          <w:i/>
          <w:sz w:val="28"/>
          <w:szCs w:val="28"/>
        </w:rPr>
        <w:t>I – Zona de Uso Restrito – ZUR, que corresponde às áreas a serem inundadas por reservatórios e às bordas das chapadas e encostas onde se encontram remanescentes de vegetação nativa, com interesse para recarga de lençóis freáticos, proteção das bordas e encostas e manutenção de estoques genéticos, nas quais se permitem os seguintes usos: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a) conservação;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b) conservação de pastagem nativa;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c) agropecuária extensiva;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 xml:space="preserve">d) empreendimentos localizados, da categoria extrativismo mineral, classe </w:t>
      </w:r>
      <w:proofErr w:type="gramStart"/>
      <w:r w:rsidRPr="007E1DEB">
        <w:rPr>
          <w:rFonts w:ascii="Arial" w:hAnsi="Arial" w:cs="Arial"/>
          <w:bCs/>
          <w:i/>
          <w:sz w:val="28"/>
          <w:szCs w:val="28"/>
        </w:rPr>
        <w:t>2</w:t>
      </w:r>
      <w:proofErr w:type="gramEnd"/>
      <w:r w:rsidRPr="007E1DEB">
        <w:rPr>
          <w:rFonts w:ascii="Arial" w:hAnsi="Arial" w:cs="Arial"/>
          <w:bCs/>
          <w:i/>
          <w:sz w:val="28"/>
          <w:szCs w:val="28"/>
        </w:rPr>
        <w:t>, de acordo com o que dispõe o Decreto federal de 15 de fevereiro de 1991, publicado no Suplemento da Diário Oficial da União de 18 de fevereiro de 1991, pág. 1;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(...)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 xml:space="preserve">VI – Zona de Uso Agropecuário 1 – ZUA </w:t>
      </w:r>
      <w:proofErr w:type="gramStart"/>
      <w:r w:rsidRPr="007E1DEB">
        <w:rPr>
          <w:rFonts w:ascii="Arial" w:hAnsi="Arial" w:cs="Arial"/>
          <w:bCs/>
          <w:i/>
          <w:sz w:val="28"/>
          <w:szCs w:val="28"/>
        </w:rPr>
        <w:t>1</w:t>
      </w:r>
      <w:proofErr w:type="gramEnd"/>
      <w:r w:rsidRPr="007E1DEB">
        <w:rPr>
          <w:rFonts w:ascii="Arial" w:hAnsi="Arial" w:cs="Arial"/>
          <w:bCs/>
          <w:i/>
          <w:sz w:val="28"/>
          <w:szCs w:val="28"/>
        </w:rPr>
        <w:t xml:space="preserve">, que corresponde aos sistemas de terra ST4 e ST5 e apresentam ecossistemas mais frágeis e conservados, nos quais se permitem os seguintes usos: 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a) conservação;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b) conservação de pastagem nativa;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c) agropecuária extensiva;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 xml:space="preserve">d) empreendimentos localizados, das </w:t>
      </w:r>
      <w:proofErr w:type="gramStart"/>
      <w:r w:rsidRPr="007E1DEB">
        <w:rPr>
          <w:rFonts w:ascii="Arial" w:hAnsi="Arial" w:cs="Arial"/>
          <w:bCs/>
          <w:i/>
          <w:sz w:val="28"/>
          <w:szCs w:val="28"/>
        </w:rPr>
        <w:t>categorias institucional</w:t>
      </w:r>
      <w:proofErr w:type="gramEnd"/>
      <w:r w:rsidRPr="007E1DEB">
        <w:rPr>
          <w:rFonts w:ascii="Arial" w:hAnsi="Arial" w:cs="Arial"/>
          <w:bCs/>
          <w:i/>
          <w:sz w:val="28"/>
          <w:szCs w:val="28"/>
        </w:rPr>
        <w:t xml:space="preserve"> e de prestação de serviços;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lastRenderedPageBreak/>
        <w:t>(...)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5E00A2">
        <w:rPr>
          <w:rFonts w:ascii="Arial" w:hAnsi="Arial" w:cs="Arial"/>
          <w:b/>
          <w:bCs/>
          <w:i/>
          <w:sz w:val="28"/>
          <w:szCs w:val="28"/>
        </w:rPr>
        <w:t xml:space="preserve">VIII – Zona de Uso Intensivo 1 – ZUI </w:t>
      </w:r>
      <w:proofErr w:type="gramStart"/>
      <w:r w:rsidRPr="005E00A2">
        <w:rPr>
          <w:rFonts w:ascii="Arial" w:hAnsi="Arial" w:cs="Arial"/>
          <w:b/>
          <w:bCs/>
          <w:i/>
          <w:sz w:val="28"/>
          <w:szCs w:val="28"/>
        </w:rPr>
        <w:t>1</w:t>
      </w:r>
      <w:proofErr w:type="gramEnd"/>
      <w:r w:rsidRPr="005E00A2">
        <w:rPr>
          <w:rFonts w:ascii="Arial" w:hAnsi="Arial" w:cs="Arial"/>
          <w:b/>
          <w:bCs/>
          <w:i/>
          <w:sz w:val="28"/>
          <w:szCs w:val="28"/>
        </w:rPr>
        <w:t>, que corresponde às parcelas dos sistemas de terra ST1 e ST3, onde se permite a utilização para fins urbanos nos termos da revisão do Plano Diretor de Ordenamento Territorial do Distrito Federal – PDOT</w:t>
      </w:r>
      <w:r w:rsidRPr="007E1DEB">
        <w:rPr>
          <w:rFonts w:ascii="Arial" w:hAnsi="Arial" w:cs="Arial"/>
          <w:bCs/>
          <w:i/>
          <w:sz w:val="28"/>
          <w:szCs w:val="28"/>
        </w:rPr>
        <w:t>, em consonân</w:t>
      </w:r>
      <w:r w:rsidR="00516796">
        <w:rPr>
          <w:rFonts w:ascii="Arial" w:hAnsi="Arial" w:cs="Arial"/>
          <w:bCs/>
          <w:i/>
          <w:sz w:val="28"/>
          <w:szCs w:val="28"/>
        </w:rPr>
        <w:t xml:space="preserve">cia com o disposto nos </w:t>
      </w:r>
      <w:proofErr w:type="spellStart"/>
      <w:r w:rsidR="00516796">
        <w:rPr>
          <w:rFonts w:ascii="Arial" w:hAnsi="Arial" w:cs="Arial"/>
          <w:bCs/>
          <w:i/>
          <w:sz w:val="28"/>
          <w:szCs w:val="28"/>
        </w:rPr>
        <w:t>arts</w:t>
      </w:r>
      <w:proofErr w:type="spellEnd"/>
      <w:r w:rsidR="00516796">
        <w:rPr>
          <w:rFonts w:ascii="Arial" w:hAnsi="Arial" w:cs="Arial"/>
          <w:bCs/>
          <w:i/>
          <w:sz w:val="28"/>
          <w:szCs w:val="28"/>
        </w:rPr>
        <w:t>. 13</w:t>
      </w:r>
      <w:r w:rsidRPr="007E1DEB">
        <w:rPr>
          <w:rFonts w:ascii="Arial" w:hAnsi="Arial" w:cs="Arial"/>
          <w:bCs/>
          <w:i/>
          <w:sz w:val="28"/>
          <w:szCs w:val="28"/>
        </w:rPr>
        <w:t xml:space="preserve"> e 14 da Lei Federal nº 6.766, de 19 de dezembro de 1979, e com a Resolução nº 10, de 14 de dezembro de 1988, do Conselho Nacional do Meio Ambiente – CONAMA, nas quais </w:t>
      </w:r>
      <w:r w:rsidRPr="005E00A2">
        <w:rPr>
          <w:rFonts w:ascii="Arial" w:hAnsi="Arial" w:cs="Arial"/>
          <w:b/>
          <w:bCs/>
          <w:i/>
          <w:sz w:val="28"/>
          <w:szCs w:val="28"/>
        </w:rPr>
        <w:t>se permitem os seguintes usos</w:t>
      </w:r>
      <w:r w:rsidRPr="007E1DEB">
        <w:rPr>
          <w:rFonts w:ascii="Arial" w:hAnsi="Arial" w:cs="Arial"/>
          <w:bCs/>
          <w:i/>
          <w:sz w:val="28"/>
          <w:szCs w:val="28"/>
        </w:rPr>
        <w:t>:</w:t>
      </w:r>
    </w:p>
    <w:p w:rsidR="003E040B" w:rsidRPr="007E1DEB" w:rsidRDefault="003E040B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a) conservação;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b) conservação de pastagem nativa;</w:t>
      </w:r>
    </w:p>
    <w:p w:rsidR="00630A56" w:rsidRPr="005E00A2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 xml:space="preserve">c) </w:t>
      </w:r>
      <w:r w:rsidRPr="005E00A2">
        <w:rPr>
          <w:rFonts w:ascii="Arial" w:hAnsi="Arial" w:cs="Arial"/>
          <w:b/>
          <w:bCs/>
          <w:i/>
          <w:sz w:val="28"/>
          <w:szCs w:val="28"/>
        </w:rPr>
        <w:t>urbano, nas zonas urbanas consolidadas e protegidas;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d) silvicultura;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e) agropecuária extensiva;</w:t>
      </w: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>f) agricultura intensiva;</w:t>
      </w:r>
    </w:p>
    <w:p w:rsidR="00630A56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7E1DEB">
        <w:rPr>
          <w:rFonts w:ascii="Arial" w:hAnsi="Arial" w:cs="Arial"/>
          <w:bCs/>
          <w:i/>
          <w:sz w:val="28"/>
          <w:szCs w:val="28"/>
        </w:rPr>
        <w:t xml:space="preserve">g) </w:t>
      </w:r>
      <w:r w:rsidRPr="005E00A2">
        <w:rPr>
          <w:rFonts w:ascii="Arial" w:hAnsi="Arial" w:cs="Arial"/>
          <w:b/>
          <w:bCs/>
          <w:i/>
          <w:sz w:val="28"/>
          <w:szCs w:val="28"/>
        </w:rPr>
        <w:t>empreendimentos localizados, das categorias industrial, comercial, institucional, de prestação de serviços, extrativismo mineral e rural;</w:t>
      </w:r>
    </w:p>
    <w:p w:rsidR="005E00A2" w:rsidRDefault="005E00A2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sz w:val="28"/>
          <w:szCs w:val="28"/>
        </w:rPr>
      </w:pPr>
    </w:p>
    <w:p w:rsidR="005E00A2" w:rsidRPr="005E00A2" w:rsidRDefault="005E00A2" w:rsidP="009C7FF7">
      <w:pPr>
        <w:tabs>
          <w:tab w:val="num" w:pos="0"/>
          <w:tab w:val="left" w:pos="9496"/>
        </w:tabs>
        <w:spacing w:after="0" w:line="360" w:lineRule="auto"/>
        <w:ind w:right="-2" w:firstLine="1276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Em face o exposto, </w:t>
      </w:r>
      <w:r w:rsidRPr="009C7FF7">
        <w:rPr>
          <w:rFonts w:ascii="Arial" w:hAnsi="Arial" w:cs="Arial"/>
          <w:b/>
          <w:bCs/>
          <w:sz w:val="28"/>
          <w:szCs w:val="28"/>
        </w:rPr>
        <w:t>conclui-se que o emp</w:t>
      </w:r>
      <w:r w:rsidR="009C7FF7" w:rsidRPr="009C7FF7">
        <w:rPr>
          <w:rFonts w:ascii="Arial" w:hAnsi="Arial" w:cs="Arial"/>
          <w:b/>
          <w:bCs/>
          <w:sz w:val="28"/>
          <w:szCs w:val="28"/>
        </w:rPr>
        <w:t xml:space="preserve">reendimento atende </w:t>
      </w:r>
      <w:r w:rsidR="009C7FF7">
        <w:rPr>
          <w:rFonts w:ascii="Arial" w:hAnsi="Arial" w:cs="Arial"/>
          <w:b/>
          <w:bCs/>
          <w:sz w:val="28"/>
          <w:szCs w:val="28"/>
        </w:rPr>
        <w:t>as normas d</w:t>
      </w:r>
      <w:r w:rsidR="009C7FF7" w:rsidRPr="009C7FF7">
        <w:rPr>
          <w:rFonts w:ascii="Arial" w:hAnsi="Arial" w:cs="Arial"/>
          <w:b/>
          <w:bCs/>
          <w:sz w:val="28"/>
          <w:szCs w:val="28"/>
        </w:rPr>
        <w:t>o Zoneamento da APA de São Bartolomeu</w:t>
      </w:r>
      <w:r w:rsidR="009C7FF7">
        <w:rPr>
          <w:rFonts w:ascii="Arial" w:hAnsi="Arial" w:cs="Arial"/>
          <w:bCs/>
          <w:sz w:val="28"/>
          <w:szCs w:val="28"/>
        </w:rPr>
        <w:t>.</w:t>
      </w:r>
    </w:p>
    <w:p w:rsidR="003E040B" w:rsidRPr="007E1DEB" w:rsidRDefault="003E040B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</w:p>
    <w:p w:rsidR="00630A56" w:rsidRPr="007E1DEB" w:rsidRDefault="00630A56" w:rsidP="00630A56">
      <w:pPr>
        <w:tabs>
          <w:tab w:val="num" w:pos="1276"/>
        </w:tabs>
        <w:spacing w:after="0" w:line="360" w:lineRule="auto"/>
        <w:ind w:left="1276" w:right="1133"/>
        <w:jc w:val="both"/>
        <w:rPr>
          <w:rFonts w:ascii="Arial" w:hAnsi="Arial" w:cs="Arial"/>
          <w:bCs/>
          <w:i/>
          <w:sz w:val="28"/>
          <w:szCs w:val="28"/>
        </w:rPr>
      </w:pPr>
    </w:p>
    <w:p w:rsidR="00630A56" w:rsidRPr="007E1DEB" w:rsidRDefault="006339D0" w:rsidP="00630A56">
      <w:pPr>
        <w:tabs>
          <w:tab w:val="num" w:pos="1418"/>
        </w:tabs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27700" cy="3683000"/>
            <wp:effectExtent l="0" t="0" r="6350" b="0"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18845" r="16310" b="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56" w:rsidRPr="005E00A2" w:rsidRDefault="00630A56" w:rsidP="00630A5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E00A2">
        <w:rPr>
          <w:rFonts w:ascii="Arial" w:hAnsi="Arial" w:cs="Arial"/>
          <w:sz w:val="24"/>
          <w:szCs w:val="24"/>
        </w:rPr>
        <w:t>Figura 03: sobreposição da URB-114/09 e dos demais projetos urbanísticos com o zoneamento da APA do Rio São Bartolomeu. (Fonte: Informação Técnica nº 501.000.066/13 – COPAR/SUGAP/IBRAM).</w:t>
      </w:r>
    </w:p>
    <w:p w:rsidR="00630A56" w:rsidRPr="007E1DEB" w:rsidRDefault="00630A56" w:rsidP="00630A56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30A56" w:rsidRDefault="00630A56" w:rsidP="00630A56">
      <w:pPr>
        <w:tabs>
          <w:tab w:val="num" w:pos="1418"/>
        </w:tabs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São Sebastião está inserido na Região Hidrográfica do Rio Paraná, Bacia Hidrográfica do Rio São Bartolomeu e Unidade Hidrográfica do Ribeirão Papuda. Além destes, a poligonal do parcelamento inserido na URB-114/09 encontra limites geográficos nos córregos Bora Manso e Mato Grande, afluentes diretos do Ribeirão Santo Antônio da Papuda. Na divisa nordeste, existe a ARIE Mato Grande que se estende ao longo do córrego de mesmo nome, entre o curso d´água e os bairros Centro e Tradicional.</w:t>
      </w:r>
    </w:p>
    <w:p w:rsidR="005E00A2" w:rsidRPr="007E1DEB" w:rsidRDefault="005E00A2" w:rsidP="00630A56">
      <w:pPr>
        <w:tabs>
          <w:tab w:val="num" w:pos="1418"/>
        </w:tabs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ab/>
      </w:r>
    </w:p>
    <w:p w:rsidR="00DF29C9" w:rsidRDefault="00DF29C9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DF29C9">
        <w:rPr>
          <w:rFonts w:ascii="Arial" w:hAnsi="Arial" w:cs="Arial"/>
          <w:b/>
          <w:color w:val="000000"/>
          <w:sz w:val="28"/>
          <w:szCs w:val="28"/>
        </w:rPr>
        <w:t>III – HISTÓRICO DO PROCESSO</w:t>
      </w:r>
    </w:p>
    <w:p w:rsidR="00DF29C9" w:rsidRPr="00DF29C9" w:rsidRDefault="00DF29C9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E00A2" w:rsidRPr="00DF29C9" w:rsidRDefault="00DF29C9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color w:val="FF0000"/>
          <w:sz w:val="28"/>
          <w:szCs w:val="28"/>
        </w:rPr>
        <w:tab/>
      </w:r>
      <w:r w:rsidR="005E00A2" w:rsidRPr="00DF29C9">
        <w:rPr>
          <w:rFonts w:ascii="Arial" w:hAnsi="Arial" w:cs="Arial"/>
          <w:sz w:val="28"/>
          <w:szCs w:val="28"/>
        </w:rPr>
        <w:t xml:space="preserve">- O </w:t>
      </w:r>
      <w:r w:rsidR="00073A09">
        <w:rPr>
          <w:rFonts w:ascii="Arial" w:hAnsi="Arial" w:cs="Arial"/>
          <w:sz w:val="28"/>
          <w:szCs w:val="28"/>
        </w:rPr>
        <w:t>Requerimento de LP foi protocolado no IEMA</w:t>
      </w:r>
      <w:r w:rsidR="005E00A2" w:rsidRPr="00DF29C9">
        <w:rPr>
          <w:rFonts w:ascii="Arial" w:hAnsi="Arial" w:cs="Arial"/>
          <w:sz w:val="28"/>
          <w:szCs w:val="28"/>
        </w:rPr>
        <w:t xml:space="preserve"> em 03/11/1992 (fl. 01)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lastRenderedPageBreak/>
        <w:tab/>
        <w:t xml:space="preserve">- O </w:t>
      </w:r>
      <w:r w:rsidR="00073A09">
        <w:rPr>
          <w:rFonts w:ascii="Arial" w:hAnsi="Arial" w:cs="Arial"/>
          <w:sz w:val="28"/>
          <w:szCs w:val="28"/>
        </w:rPr>
        <w:t xml:space="preserve">Termo de Referência </w:t>
      </w:r>
      <w:r w:rsidRPr="00DF29C9">
        <w:rPr>
          <w:rFonts w:ascii="Arial" w:hAnsi="Arial" w:cs="Arial"/>
          <w:sz w:val="28"/>
          <w:szCs w:val="28"/>
        </w:rPr>
        <w:t xml:space="preserve">para elaboração do EIA/RIMA </w:t>
      </w:r>
      <w:r w:rsidR="00073A09">
        <w:rPr>
          <w:rFonts w:ascii="Arial" w:hAnsi="Arial" w:cs="Arial"/>
          <w:sz w:val="28"/>
          <w:szCs w:val="28"/>
        </w:rPr>
        <w:t xml:space="preserve">foi confeccionado pelo IEMA </w:t>
      </w:r>
      <w:r w:rsidRPr="00DF29C9">
        <w:rPr>
          <w:rFonts w:ascii="Arial" w:hAnsi="Arial" w:cs="Arial"/>
          <w:sz w:val="28"/>
          <w:szCs w:val="28"/>
        </w:rPr>
        <w:t>em maio de 1993 (fl. 54 a 84);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O Requerimento da licença </w:t>
      </w:r>
      <w:r w:rsidR="00073A09">
        <w:rPr>
          <w:rFonts w:ascii="Arial" w:hAnsi="Arial" w:cs="Arial"/>
          <w:sz w:val="28"/>
          <w:szCs w:val="28"/>
        </w:rPr>
        <w:t xml:space="preserve">foi publicado </w:t>
      </w:r>
      <w:r w:rsidRPr="00DF29C9">
        <w:rPr>
          <w:rFonts w:ascii="Arial" w:hAnsi="Arial" w:cs="Arial"/>
          <w:sz w:val="28"/>
          <w:szCs w:val="28"/>
        </w:rPr>
        <w:t xml:space="preserve">em </w:t>
      </w:r>
      <w:r w:rsidR="00516796">
        <w:rPr>
          <w:rFonts w:ascii="Arial" w:hAnsi="Arial" w:cs="Arial"/>
          <w:sz w:val="28"/>
          <w:szCs w:val="28"/>
        </w:rPr>
        <w:t>j</w:t>
      </w:r>
      <w:r w:rsidRPr="00DF29C9">
        <w:rPr>
          <w:rFonts w:ascii="Arial" w:hAnsi="Arial" w:cs="Arial"/>
          <w:sz w:val="28"/>
          <w:szCs w:val="28"/>
        </w:rPr>
        <w:t xml:space="preserve">ornal de </w:t>
      </w:r>
      <w:r w:rsidR="00516796">
        <w:rPr>
          <w:rFonts w:ascii="Arial" w:hAnsi="Arial" w:cs="Arial"/>
          <w:sz w:val="28"/>
          <w:szCs w:val="28"/>
        </w:rPr>
        <w:t>g</w:t>
      </w:r>
      <w:r w:rsidRPr="00DF29C9">
        <w:rPr>
          <w:rFonts w:ascii="Arial" w:hAnsi="Arial" w:cs="Arial"/>
          <w:sz w:val="28"/>
          <w:szCs w:val="28"/>
        </w:rPr>
        <w:t xml:space="preserve">rande </w:t>
      </w:r>
      <w:r w:rsidR="00516796">
        <w:rPr>
          <w:rFonts w:ascii="Arial" w:hAnsi="Arial" w:cs="Arial"/>
          <w:sz w:val="28"/>
          <w:szCs w:val="28"/>
        </w:rPr>
        <w:t>c</w:t>
      </w:r>
      <w:r w:rsidRPr="00DF29C9">
        <w:rPr>
          <w:rFonts w:ascii="Arial" w:hAnsi="Arial" w:cs="Arial"/>
          <w:sz w:val="28"/>
          <w:szCs w:val="28"/>
        </w:rPr>
        <w:t>irculação e no DODF (fls. 87 e 88);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O </w:t>
      </w:r>
      <w:r w:rsidR="00073A09">
        <w:rPr>
          <w:rFonts w:ascii="Arial" w:hAnsi="Arial" w:cs="Arial"/>
          <w:sz w:val="28"/>
          <w:szCs w:val="28"/>
        </w:rPr>
        <w:t xml:space="preserve">EIA/RIMA foi elaborado pelo </w:t>
      </w:r>
      <w:r w:rsidRPr="00DF29C9">
        <w:rPr>
          <w:rFonts w:ascii="Arial" w:hAnsi="Arial" w:cs="Arial"/>
          <w:sz w:val="28"/>
          <w:szCs w:val="28"/>
        </w:rPr>
        <w:t xml:space="preserve">empreendedor </w:t>
      </w:r>
      <w:r w:rsidR="00073A09">
        <w:rPr>
          <w:rFonts w:ascii="Arial" w:hAnsi="Arial" w:cs="Arial"/>
          <w:sz w:val="28"/>
          <w:szCs w:val="28"/>
        </w:rPr>
        <w:t>e devidamente protocolado no IEMA em</w:t>
      </w:r>
      <w:r w:rsidRPr="00DF29C9">
        <w:rPr>
          <w:rFonts w:ascii="Arial" w:hAnsi="Arial" w:cs="Arial"/>
          <w:sz w:val="28"/>
          <w:szCs w:val="28"/>
        </w:rPr>
        <w:t xml:space="preserve"> 01/11/1994 (fls. 101 a 496);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073A09">
        <w:rPr>
          <w:rFonts w:ascii="Arial" w:hAnsi="Arial" w:cs="Arial"/>
          <w:sz w:val="28"/>
          <w:szCs w:val="28"/>
        </w:rPr>
        <w:t xml:space="preserve">o Convite de Audiência Pública para apresentação do EIA/RIMA foi publicado pela SEMATEC </w:t>
      </w:r>
      <w:r w:rsidRPr="00DF29C9">
        <w:rPr>
          <w:rFonts w:ascii="Arial" w:hAnsi="Arial" w:cs="Arial"/>
          <w:sz w:val="28"/>
          <w:szCs w:val="28"/>
        </w:rPr>
        <w:t>no DODF e jornal de grande circulação (fls. 499 a 504 e 514 a 519);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073A09">
        <w:rPr>
          <w:rFonts w:ascii="Arial" w:hAnsi="Arial" w:cs="Arial"/>
          <w:sz w:val="28"/>
          <w:szCs w:val="28"/>
        </w:rPr>
        <w:t>No dia 04/07/1995 foi realizada a</w:t>
      </w:r>
      <w:r w:rsidRPr="00DF29C9">
        <w:rPr>
          <w:rFonts w:ascii="Arial" w:hAnsi="Arial" w:cs="Arial"/>
          <w:b/>
          <w:sz w:val="28"/>
          <w:szCs w:val="28"/>
        </w:rPr>
        <w:t xml:space="preserve"> audiência pública </w:t>
      </w:r>
      <w:r w:rsidRPr="00DF29C9">
        <w:rPr>
          <w:rFonts w:ascii="Arial" w:hAnsi="Arial" w:cs="Arial"/>
          <w:sz w:val="28"/>
          <w:szCs w:val="28"/>
        </w:rPr>
        <w:t>conform</w:t>
      </w:r>
      <w:r w:rsidR="00DF29C9">
        <w:rPr>
          <w:rFonts w:ascii="Arial" w:hAnsi="Arial" w:cs="Arial"/>
          <w:sz w:val="28"/>
          <w:szCs w:val="28"/>
        </w:rPr>
        <w:t>e</w:t>
      </w:r>
      <w:r w:rsidRPr="00DF29C9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DF29C9">
        <w:rPr>
          <w:rFonts w:ascii="Arial" w:hAnsi="Arial" w:cs="Arial"/>
          <w:sz w:val="28"/>
          <w:szCs w:val="28"/>
        </w:rPr>
        <w:t>observa-se</w:t>
      </w:r>
      <w:proofErr w:type="gramEnd"/>
      <w:r w:rsidRPr="00DF29C9">
        <w:rPr>
          <w:rFonts w:ascii="Arial" w:hAnsi="Arial" w:cs="Arial"/>
          <w:sz w:val="28"/>
          <w:szCs w:val="28"/>
        </w:rPr>
        <w:t xml:space="preserve"> na ATA e lista de presença (fls. 534 a 542);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O IEMA </w:t>
      </w:r>
      <w:r w:rsidR="00516796">
        <w:rPr>
          <w:rFonts w:ascii="Arial" w:hAnsi="Arial" w:cs="Arial"/>
          <w:b/>
          <w:sz w:val="28"/>
          <w:szCs w:val="28"/>
        </w:rPr>
        <w:t>emitiu P</w:t>
      </w:r>
      <w:r w:rsidRPr="00DF29C9">
        <w:rPr>
          <w:rFonts w:ascii="Arial" w:hAnsi="Arial" w:cs="Arial"/>
          <w:b/>
          <w:sz w:val="28"/>
          <w:szCs w:val="28"/>
        </w:rPr>
        <w:t>arecer Técnico nº 5 atestando a qualidade do EIA/RIMA e o empreendimento ambientalmente viável</w:t>
      </w:r>
      <w:r w:rsidRPr="00DF29C9">
        <w:rPr>
          <w:rFonts w:ascii="Arial" w:hAnsi="Arial" w:cs="Arial"/>
          <w:sz w:val="28"/>
          <w:szCs w:val="28"/>
        </w:rPr>
        <w:t xml:space="preserve"> (fls. 605 a 619);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073A09">
        <w:rPr>
          <w:rFonts w:ascii="Arial" w:hAnsi="Arial" w:cs="Arial"/>
          <w:sz w:val="28"/>
          <w:szCs w:val="28"/>
        </w:rPr>
        <w:t xml:space="preserve">A Lei </w:t>
      </w:r>
      <w:r w:rsidR="00073A09" w:rsidRPr="00DF29C9">
        <w:rPr>
          <w:rFonts w:ascii="Arial" w:hAnsi="Arial" w:cs="Arial"/>
          <w:b/>
          <w:sz w:val="28"/>
          <w:szCs w:val="28"/>
        </w:rPr>
        <w:t xml:space="preserve">Nº 1.149/1996, que promulgou o </w:t>
      </w:r>
      <w:proofErr w:type="spellStart"/>
      <w:r w:rsidR="00073A09" w:rsidRPr="00DF29C9">
        <w:rPr>
          <w:rFonts w:ascii="Arial" w:hAnsi="Arial" w:cs="Arial"/>
          <w:b/>
          <w:sz w:val="28"/>
          <w:szCs w:val="28"/>
        </w:rPr>
        <w:t>rezoneamento</w:t>
      </w:r>
      <w:proofErr w:type="spellEnd"/>
      <w:r w:rsidR="00073A09" w:rsidRPr="00DF29C9">
        <w:rPr>
          <w:rFonts w:ascii="Arial" w:hAnsi="Arial" w:cs="Arial"/>
          <w:b/>
          <w:sz w:val="28"/>
          <w:szCs w:val="28"/>
        </w:rPr>
        <w:t xml:space="preserve"> da APA de São Bartolomeu</w:t>
      </w:r>
      <w:r w:rsidR="00073A09" w:rsidRPr="00DF29C9">
        <w:rPr>
          <w:rFonts w:ascii="Arial" w:hAnsi="Arial" w:cs="Arial"/>
          <w:sz w:val="28"/>
          <w:szCs w:val="28"/>
        </w:rPr>
        <w:t xml:space="preserve"> </w:t>
      </w:r>
      <w:r w:rsidR="00073A09">
        <w:rPr>
          <w:rFonts w:ascii="Arial" w:hAnsi="Arial" w:cs="Arial"/>
          <w:sz w:val="28"/>
          <w:szCs w:val="28"/>
        </w:rPr>
        <w:t xml:space="preserve">foi sancionada pelo </w:t>
      </w:r>
      <w:r w:rsidRPr="00DF29C9">
        <w:rPr>
          <w:rFonts w:ascii="Arial" w:hAnsi="Arial" w:cs="Arial"/>
          <w:sz w:val="28"/>
          <w:szCs w:val="28"/>
        </w:rPr>
        <w:t>Poder Executivo, de modo a permitir a regularização da Região (fls. 621 a 622);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073A09">
        <w:rPr>
          <w:rFonts w:ascii="Arial" w:hAnsi="Arial" w:cs="Arial"/>
          <w:sz w:val="28"/>
          <w:szCs w:val="28"/>
        </w:rPr>
        <w:t xml:space="preserve">A Licença Prévia foi expedida pelo </w:t>
      </w:r>
      <w:r w:rsidRPr="00DF29C9">
        <w:rPr>
          <w:rFonts w:ascii="Arial" w:hAnsi="Arial" w:cs="Arial"/>
          <w:sz w:val="28"/>
          <w:szCs w:val="28"/>
        </w:rPr>
        <w:t>IEMA (fl. 882);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O </w:t>
      </w:r>
      <w:r w:rsidR="00073A09">
        <w:rPr>
          <w:rFonts w:ascii="Arial" w:hAnsi="Arial" w:cs="Arial"/>
          <w:sz w:val="28"/>
          <w:szCs w:val="28"/>
        </w:rPr>
        <w:t>recebimento das LP foi</w:t>
      </w:r>
      <w:r w:rsidRPr="00DF29C9">
        <w:rPr>
          <w:rFonts w:ascii="Arial" w:hAnsi="Arial" w:cs="Arial"/>
          <w:sz w:val="28"/>
          <w:szCs w:val="28"/>
        </w:rPr>
        <w:t xml:space="preserve"> public</w:t>
      </w:r>
      <w:r w:rsidR="00073A09">
        <w:rPr>
          <w:rFonts w:ascii="Arial" w:hAnsi="Arial" w:cs="Arial"/>
          <w:sz w:val="28"/>
          <w:szCs w:val="28"/>
        </w:rPr>
        <w:t xml:space="preserve">ado pelo empreendedor </w:t>
      </w:r>
      <w:r w:rsidRPr="00DF29C9">
        <w:rPr>
          <w:rFonts w:ascii="Arial" w:hAnsi="Arial" w:cs="Arial"/>
          <w:sz w:val="28"/>
          <w:szCs w:val="28"/>
        </w:rPr>
        <w:t xml:space="preserve">no DODF e </w:t>
      </w:r>
      <w:r w:rsidR="00516796">
        <w:rPr>
          <w:rFonts w:ascii="Arial" w:hAnsi="Arial" w:cs="Arial"/>
          <w:sz w:val="28"/>
          <w:szCs w:val="28"/>
        </w:rPr>
        <w:t>j</w:t>
      </w:r>
      <w:r w:rsidRPr="00DF29C9">
        <w:rPr>
          <w:rFonts w:ascii="Arial" w:hAnsi="Arial" w:cs="Arial"/>
          <w:sz w:val="28"/>
          <w:szCs w:val="28"/>
        </w:rPr>
        <w:t xml:space="preserve">ornal de </w:t>
      </w:r>
      <w:r w:rsidR="00516796">
        <w:rPr>
          <w:rFonts w:ascii="Arial" w:hAnsi="Arial" w:cs="Arial"/>
          <w:sz w:val="28"/>
          <w:szCs w:val="28"/>
        </w:rPr>
        <w:t>grande c</w:t>
      </w:r>
      <w:r w:rsidRPr="00DF29C9">
        <w:rPr>
          <w:rFonts w:ascii="Arial" w:hAnsi="Arial" w:cs="Arial"/>
          <w:sz w:val="28"/>
          <w:szCs w:val="28"/>
        </w:rPr>
        <w:t>irculação (fls. 889 a 890);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O </w:t>
      </w:r>
      <w:r w:rsidR="00073A09">
        <w:rPr>
          <w:rFonts w:ascii="Arial" w:hAnsi="Arial" w:cs="Arial"/>
          <w:sz w:val="28"/>
          <w:szCs w:val="28"/>
        </w:rPr>
        <w:t xml:space="preserve">interessado </w:t>
      </w:r>
      <w:r w:rsidRPr="00DF29C9">
        <w:rPr>
          <w:rFonts w:ascii="Arial" w:hAnsi="Arial" w:cs="Arial"/>
          <w:sz w:val="28"/>
          <w:szCs w:val="28"/>
        </w:rPr>
        <w:t xml:space="preserve">requereu a Licença de Instalação – LI e publicou o requerimento no DODF e </w:t>
      </w:r>
      <w:r w:rsidR="00516796">
        <w:rPr>
          <w:rFonts w:ascii="Arial" w:hAnsi="Arial" w:cs="Arial"/>
          <w:sz w:val="28"/>
          <w:szCs w:val="28"/>
        </w:rPr>
        <w:t>j</w:t>
      </w:r>
      <w:r w:rsidRPr="00DF29C9">
        <w:rPr>
          <w:rFonts w:ascii="Arial" w:hAnsi="Arial" w:cs="Arial"/>
          <w:sz w:val="28"/>
          <w:szCs w:val="28"/>
        </w:rPr>
        <w:t xml:space="preserve">ornal de </w:t>
      </w:r>
      <w:r w:rsidR="00516796">
        <w:rPr>
          <w:rFonts w:ascii="Arial" w:hAnsi="Arial" w:cs="Arial"/>
          <w:sz w:val="28"/>
          <w:szCs w:val="28"/>
        </w:rPr>
        <w:t>grande c</w:t>
      </w:r>
      <w:r w:rsidRPr="00DF29C9">
        <w:rPr>
          <w:rFonts w:ascii="Arial" w:hAnsi="Arial" w:cs="Arial"/>
          <w:sz w:val="28"/>
          <w:szCs w:val="28"/>
        </w:rPr>
        <w:t>irculação (Fls. 891 a 893);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073A09">
        <w:rPr>
          <w:rFonts w:ascii="Arial" w:hAnsi="Arial" w:cs="Arial"/>
          <w:sz w:val="28"/>
          <w:szCs w:val="28"/>
        </w:rPr>
        <w:t xml:space="preserve">A LI foi </w:t>
      </w:r>
      <w:r w:rsidRPr="00DF29C9">
        <w:rPr>
          <w:rFonts w:ascii="Arial" w:hAnsi="Arial" w:cs="Arial"/>
          <w:sz w:val="28"/>
          <w:szCs w:val="28"/>
        </w:rPr>
        <w:t>requer</w:t>
      </w:r>
      <w:r w:rsidR="00073A09">
        <w:rPr>
          <w:rFonts w:ascii="Arial" w:hAnsi="Arial" w:cs="Arial"/>
          <w:sz w:val="28"/>
          <w:szCs w:val="28"/>
        </w:rPr>
        <w:t>ida</w:t>
      </w:r>
      <w:r w:rsidRPr="00DF29C9">
        <w:rPr>
          <w:rFonts w:ascii="Arial" w:hAnsi="Arial" w:cs="Arial"/>
          <w:sz w:val="28"/>
          <w:szCs w:val="28"/>
        </w:rPr>
        <w:t xml:space="preserve"> novamente</w:t>
      </w:r>
      <w:r w:rsidR="00073A09">
        <w:rPr>
          <w:rFonts w:ascii="Arial" w:hAnsi="Arial" w:cs="Arial"/>
          <w:sz w:val="28"/>
          <w:szCs w:val="28"/>
        </w:rPr>
        <w:t xml:space="preserve"> pelo empreendedor </w:t>
      </w:r>
      <w:r w:rsidRPr="00DF29C9">
        <w:rPr>
          <w:rFonts w:ascii="Arial" w:hAnsi="Arial" w:cs="Arial"/>
          <w:sz w:val="28"/>
          <w:szCs w:val="28"/>
        </w:rPr>
        <w:t>(Fl. 1159);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O </w:t>
      </w:r>
      <w:r w:rsidRPr="00DF29C9">
        <w:rPr>
          <w:rFonts w:ascii="Arial" w:hAnsi="Arial" w:cs="Arial"/>
          <w:b/>
          <w:sz w:val="28"/>
          <w:szCs w:val="28"/>
        </w:rPr>
        <w:t>IEMA emitiu os TR para elaboração do Estudo de Viabilidade Ambiental e Recuperação de Áreas Degradadas</w:t>
      </w:r>
      <w:r w:rsidRPr="00DF29C9">
        <w:rPr>
          <w:rFonts w:ascii="Arial" w:hAnsi="Arial" w:cs="Arial"/>
          <w:sz w:val="28"/>
          <w:szCs w:val="28"/>
        </w:rPr>
        <w:t xml:space="preserve"> (fls. 2045 a 2056);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A </w:t>
      </w:r>
      <w:r w:rsidRPr="00DF29C9">
        <w:rPr>
          <w:rFonts w:ascii="Arial" w:hAnsi="Arial" w:cs="Arial"/>
          <w:b/>
          <w:sz w:val="28"/>
          <w:szCs w:val="28"/>
        </w:rPr>
        <w:t>TOPOCART encaminhou o RCA/PCA em meio digital para continuidade da análise do processo de licenciamento</w:t>
      </w:r>
      <w:r w:rsidRPr="00DF29C9">
        <w:rPr>
          <w:rFonts w:ascii="Arial" w:hAnsi="Arial" w:cs="Arial"/>
          <w:sz w:val="28"/>
          <w:szCs w:val="28"/>
        </w:rPr>
        <w:t xml:space="preserve"> (fls. 2215 a 2216);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lastRenderedPageBreak/>
        <w:tab/>
        <w:t xml:space="preserve">- O IBRAM </w:t>
      </w:r>
      <w:r w:rsidRPr="00DF29C9">
        <w:rPr>
          <w:rFonts w:ascii="Arial" w:hAnsi="Arial" w:cs="Arial"/>
          <w:b/>
          <w:sz w:val="28"/>
          <w:szCs w:val="28"/>
        </w:rPr>
        <w:t>e</w:t>
      </w:r>
      <w:r w:rsidR="00073A09">
        <w:rPr>
          <w:rFonts w:ascii="Arial" w:hAnsi="Arial" w:cs="Arial"/>
          <w:b/>
          <w:sz w:val="28"/>
          <w:szCs w:val="28"/>
        </w:rPr>
        <w:t>laborou</w:t>
      </w:r>
      <w:r w:rsidRPr="00DF29C9">
        <w:rPr>
          <w:rFonts w:ascii="Arial" w:hAnsi="Arial" w:cs="Arial"/>
          <w:b/>
          <w:sz w:val="28"/>
          <w:szCs w:val="28"/>
        </w:rPr>
        <w:t xml:space="preserve"> a Informação Técnica nº 29/2012 – GEUSO/COLAM/SULFI solicitando complementações ao RCA/PCA</w:t>
      </w:r>
      <w:r w:rsidRPr="00DF29C9">
        <w:rPr>
          <w:rFonts w:ascii="Arial" w:hAnsi="Arial" w:cs="Arial"/>
          <w:sz w:val="28"/>
          <w:szCs w:val="28"/>
        </w:rPr>
        <w:t xml:space="preserve"> (fls. 2225 a 2239);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073A09">
        <w:rPr>
          <w:rFonts w:ascii="Arial" w:hAnsi="Arial" w:cs="Arial"/>
          <w:sz w:val="28"/>
          <w:szCs w:val="28"/>
        </w:rPr>
        <w:t>Em atendimento da Resolução Conama nº 428/2010, a</w:t>
      </w:r>
      <w:r w:rsidRPr="00DF29C9">
        <w:rPr>
          <w:rFonts w:ascii="Arial" w:hAnsi="Arial" w:cs="Arial"/>
          <w:b/>
          <w:sz w:val="28"/>
          <w:szCs w:val="28"/>
        </w:rPr>
        <w:t xml:space="preserve"> SUGAP emitiu a Informação técnica nº 5001.000.066/2013 – COPAR/SUGAP/IBRAM com algumas sugestões, considerações, exigências e recomendações</w:t>
      </w:r>
      <w:r w:rsidRPr="00DF29C9">
        <w:rPr>
          <w:rFonts w:ascii="Arial" w:hAnsi="Arial" w:cs="Arial"/>
          <w:sz w:val="28"/>
          <w:szCs w:val="28"/>
        </w:rPr>
        <w:t xml:space="preserve"> (fls. 2249 a 2307);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>- A NOVACAP elaborou Parecer Técnico nº 12/2014 – NOVACAP/GRUPAR opinando pela continuidade da regularização quanto ao sistema de drenagem (fls. 2320 a 2321);</w:t>
      </w:r>
    </w:p>
    <w:p w:rsidR="005E00A2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>- A CEB emitiu Parecer Técnico nº 031/2013 CEB/GRUPAR informando que a Região Administrativa de São Sebastião é atendida por rede de energia elétrica e que a empresa tem condições de abastecer a demanda, que não existem interferências da rede com inf</w:t>
      </w:r>
      <w:r w:rsidR="00DF29C9">
        <w:rPr>
          <w:rFonts w:ascii="Arial" w:hAnsi="Arial" w:cs="Arial"/>
          <w:sz w:val="28"/>
          <w:szCs w:val="28"/>
        </w:rPr>
        <w:t>r</w:t>
      </w:r>
      <w:r w:rsidRPr="00DF29C9">
        <w:rPr>
          <w:rFonts w:ascii="Arial" w:hAnsi="Arial" w:cs="Arial"/>
          <w:sz w:val="28"/>
          <w:szCs w:val="28"/>
        </w:rPr>
        <w:t>aestrutura instalada e que as novas redes deverão seguir orientações das normas técnicas da CEB (fl. 2322);</w:t>
      </w:r>
    </w:p>
    <w:p w:rsidR="005E00A2" w:rsidRPr="00DF29C9" w:rsidRDefault="00476784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5E00A2" w:rsidRPr="00DF29C9">
        <w:rPr>
          <w:rFonts w:ascii="Arial" w:hAnsi="Arial" w:cs="Arial"/>
          <w:sz w:val="28"/>
          <w:szCs w:val="28"/>
        </w:rPr>
        <w:t xml:space="preserve">- </w:t>
      </w:r>
      <w:r w:rsidR="00073A09">
        <w:rPr>
          <w:rFonts w:ascii="Arial" w:hAnsi="Arial" w:cs="Arial"/>
          <w:sz w:val="28"/>
          <w:szCs w:val="28"/>
        </w:rPr>
        <w:t>A</w:t>
      </w:r>
      <w:r w:rsidR="005E00A2" w:rsidRPr="00DF29C9">
        <w:rPr>
          <w:rFonts w:ascii="Arial" w:hAnsi="Arial" w:cs="Arial"/>
          <w:sz w:val="28"/>
          <w:szCs w:val="28"/>
        </w:rPr>
        <w:t xml:space="preserve"> Procuradoria do IBRAM </w:t>
      </w:r>
      <w:r w:rsidR="00073A09">
        <w:rPr>
          <w:rFonts w:ascii="Arial" w:hAnsi="Arial" w:cs="Arial"/>
          <w:sz w:val="28"/>
          <w:szCs w:val="28"/>
        </w:rPr>
        <w:t xml:space="preserve">emitiu manifestação </w:t>
      </w:r>
      <w:r w:rsidR="005E00A2" w:rsidRPr="00123245">
        <w:rPr>
          <w:rFonts w:ascii="Arial" w:hAnsi="Arial" w:cs="Arial"/>
          <w:b/>
          <w:sz w:val="28"/>
          <w:szCs w:val="28"/>
        </w:rPr>
        <w:t>isentando o empreendedor de pagar compensação ambiental considerando o princípio</w:t>
      </w:r>
      <w:r w:rsidR="006339D0">
        <w:rPr>
          <w:rFonts w:ascii="Arial" w:hAnsi="Arial" w:cs="Arial"/>
          <w:b/>
          <w:sz w:val="28"/>
          <w:szCs w:val="28"/>
        </w:rPr>
        <w:t xml:space="preserve"> da</w:t>
      </w:r>
      <w:r w:rsidR="005E00A2" w:rsidRPr="00123245">
        <w:rPr>
          <w:rFonts w:ascii="Arial" w:hAnsi="Arial" w:cs="Arial"/>
          <w:b/>
          <w:sz w:val="28"/>
          <w:szCs w:val="28"/>
        </w:rPr>
        <w:t xml:space="preserve"> Segurança Jurídica e da Irretroatividade das Normas</w:t>
      </w:r>
      <w:r w:rsidR="005E00A2" w:rsidRPr="00DF29C9">
        <w:rPr>
          <w:rFonts w:ascii="Arial" w:hAnsi="Arial" w:cs="Arial"/>
          <w:sz w:val="28"/>
          <w:szCs w:val="28"/>
        </w:rPr>
        <w:t xml:space="preserve"> uma vez que o setor foi implantado antes do ano de 2000 (fls. 2373 a 2380);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A TOPOCART </w:t>
      </w:r>
      <w:r w:rsidR="00073A09">
        <w:rPr>
          <w:rFonts w:ascii="Arial" w:hAnsi="Arial" w:cs="Arial"/>
          <w:sz w:val="28"/>
          <w:szCs w:val="28"/>
        </w:rPr>
        <w:t xml:space="preserve">elaborou e </w:t>
      </w:r>
      <w:r w:rsidRPr="00123245">
        <w:rPr>
          <w:rFonts w:ascii="Arial" w:hAnsi="Arial" w:cs="Arial"/>
          <w:b/>
          <w:sz w:val="28"/>
          <w:szCs w:val="28"/>
        </w:rPr>
        <w:t>pro</w:t>
      </w:r>
      <w:r w:rsidR="00073A09">
        <w:rPr>
          <w:rFonts w:ascii="Arial" w:hAnsi="Arial" w:cs="Arial"/>
          <w:b/>
          <w:sz w:val="28"/>
          <w:szCs w:val="28"/>
        </w:rPr>
        <w:t xml:space="preserve">tocolou </w:t>
      </w:r>
      <w:r w:rsidRPr="00123245">
        <w:rPr>
          <w:rFonts w:ascii="Arial" w:hAnsi="Arial" w:cs="Arial"/>
          <w:b/>
          <w:sz w:val="28"/>
          <w:szCs w:val="28"/>
        </w:rPr>
        <w:t>o RCA/PCA</w:t>
      </w:r>
      <w:r w:rsidRPr="00DF29C9">
        <w:rPr>
          <w:rFonts w:ascii="Arial" w:hAnsi="Arial" w:cs="Arial"/>
          <w:sz w:val="28"/>
          <w:szCs w:val="28"/>
        </w:rPr>
        <w:t xml:space="preserve"> conforme solicitação do IBRAM (fls. 2382 a 2742);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FB3B72">
        <w:rPr>
          <w:rFonts w:ascii="Arial" w:hAnsi="Arial" w:cs="Arial"/>
          <w:sz w:val="28"/>
          <w:szCs w:val="28"/>
        </w:rPr>
        <w:t xml:space="preserve">A CODHAB enviou </w:t>
      </w:r>
      <w:r w:rsidRPr="00123245">
        <w:rPr>
          <w:rFonts w:ascii="Arial" w:hAnsi="Arial" w:cs="Arial"/>
          <w:b/>
          <w:sz w:val="28"/>
          <w:szCs w:val="28"/>
        </w:rPr>
        <w:t xml:space="preserve">Ofício nº 100.000.910/2014 – PRESI/CODHAB/DF requerendo a LI, cópia do DODF e </w:t>
      </w:r>
      <w:r w:rsidR="006339D0">
        <w:rPr>
          <w:rFonts w:ascii="Arial" w:hAnsi="Arial" w:cs="Arial"/>
          <w:b/>
          <w:sz w:val="28"/>
          <w:szCs w:val="28"/>
        </w:rPr>
        <w:t>j</w:t>
      </w:r>
      <w:r w:rsidRPr="00123245">
        <w:rPr>
          <w:rFonts w:ascii="Arial" w:hAnsi="Arial" w:cs="Arial"/>
          <w:b/>
          <w:sz w:val="28"/>
          <w:szCs w:val="28"/>
        </w:rPr>
        <w:t xml:space="preserve">ornal de </w:t>
      </w:r>
      <w:r w:rsidR="006339D0">
        <w:rPr>
          <w:rFonts w:ascii="Arial" w:hAnsi="Arial" w:cs="Arial"/>
          <w:b/>
          <w:sz w:val="28"/>
          <w:szCs w:val="28"/>
        </w:rPr>
        <w:t>g</w:t>
      </w:r>
      <w:r w:rsidRPr="00123245">
        <w:rPr>
          <w:rFonts w:ascii="Arial" w:hAnsi="Arial" w:cs="Arial"/>
          <w:b/>
          <w:sz w:val="28"/>
          <w:szCs w:val="28"/>
        </w:rPr>
        <w:t xml:space="preserve">rande </w:t>
      </w:r>
      <w:r w:rsidR="006339D0">
        <w:rPr>
          <w:rFonts w:ascii="Arial" w:hAnsi="Arial" w:cs="Arial"/>
          <w:b/>
          <w:sz w:val="28"/>
          <w:szCs w:val="28"/>
        </w:rPr>
        <w:t>c</w:t>
      </w:r>
      <w:r w:rsidRPr="00123245">
        <w:rPr>
          <w:rFonts w:ascii="Arial" w:hAnsi="Arial" w:cs="Arial"/>
          <w:b/>
          <w:sz w:val="28"/>
          <w:szCs w:val="28"/>
        </w:rPr>
        <w:t>irculação do requerimento, documentação pessoal</w:t>
      </w:r>
      <w:r w:rsidRPr="00DF29C9">
        <w:rPr>
          <w:rFonts w:ascii="Arial" w:hAnsi="Arial" w:cs="Arial"/>
          <w:sz w:val="28"/>
          <w:szCs w:val="28"/>
        </w:rPr>
        <w:t xml:space="preserve">, redução do valor da </w:t>
      </w:r>
      <w:r w:rsidR="006339D0">
        <w:rPr>
          <w:rFonts w:ascii="Arial" w:hAnsi="Arial" w:cs="Arial"/>
          <w:sz w:val="28"/>
          <w:szCs w:val="28"/>
        </w:rPr>
        <w:t>t</w:t>
      </w:r>
      <w:r w:rsidRPr="00DF29C9">
        <w:rPr>
          <w:rFonts w:ascii="Arial" w:hAnsi="Arial" w:cs="Arial"/>
          <w:sz w:val="28"/>
          <w:szCs w:val="28"/>
        </w:rPr>
        <w:t>axa de análise do licenciamento (fls. 2747 a 2759);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E16DEC">
        <w:rPr>
          <w:rFonts w:ascii="Arial" w:hAnsi="Arial" w:cs="Arial"/>
          <w:sz w:val="28"/>
          <w:szCs w:val="28"/>
        </w:rPr>
        <w:t xml:space="preserve">A SULFI elaborou a </w:t>
      </w:r>
      <w:r w:rsidRPr="00DF29C9">
        <w:rPr>
          <w:rFonts w:ascii="Arial" w:hAnsi="Arial" w:cs="Arial"/>
          <w:sz w:val="28"/>
          <w:szCs w:val="28"/>
        </w:rPr>
        <w:t>Informação Técnica nº 400.000.034/2014 – SULFI/IBRAM</w:t>
      </w:r>
      <w:r w:rsidR="00E16DEC">
        <w:rPr>
          <w:rFonts w:ascii="Arial" w:hAnsi="Arial" w:cs="Arial"/>
          <w:sz w:val="28"/>
          <w:szCs w:val="28"/>
        </w:rPr>
        <w:t>,</w:t>
      </w:r>
      <w:r w:rsidRPr="00DF29C9">
        <w:rPr>
          <w:rFonts w:ascii="Arial" w:hAnsi="Arial" w:cs="Arial"/>
          <w:sz w:val="28"/>
          <w:szCs w:val="28"/>
        </w:rPr>
        <w:t xml:space="preserve"> </w:t>
      </w:r>
      <w:r w:rsidRPr="00123245">
        <w:rPr>
          <w:rFonts w:ascii="Arial" w:hAnsi="Arial" w:cs="Arial"/>
          <w:b/>
          <w:sz w:val="28"/>
          <w:szCs w:val="28"/>
        </w:rPr>
        <w:t>concluindo que o IBRAM só pode</w:t>
      </w:r>
      <w:r w:rsidR="009E5B4B">
        <w:rPr>
          <w:rFonts w:ascii="Arial" w:hAnsi="Arial" w:cs="Arial"/>
          <w:b/>
          <w:sz w:val="28"/>
          <w:szCs w:val="28"/>
        </w:rPr>
        <w:t>ria</w:t>
      </w:r>
      <w:r w:rsidRPr="00123245">
        <w:rPr>
          <w:rFonts w:ascii="Arial" w:hAnsi="Arial" w:cs="Arial"/>
          <w:b/>
          <w:sz w:val="28"/>
          <w:szCs w:val="28"/>
        </w:rPr>
        <w:t xml:space="preserve"> conceder 60% de redução do valor da taxa de análise do licenciamento</w:t>
      </w:r>
      <w:r w:rsidRPr="00DF29C9">
        <w:rPr>
          <w:rFonts w:ascii="Arial" w:hAnsi="Arial" w:cs="Arial"/>
          <w:sz w:val="28"/>
          <w:szCs w:val="28"/>
        </w:rPr>
        <w:t xml:space="preserve"> (fls. 2760 a 2761);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lastRenderedPageBreak/>
        <w:tab/>
        <w:t xml:space="preserve">- </w:t>
      </w:r>
      <w:r w:rsidR="009E5B4B">
        <w:rPr>
          <w:rFonts w:ascii="Arial" w:hAnsi="Arial" w:cs="Arial"/>
          <w:sz w:val="28"/>
          <w:szCs w:val="28"/>
        </w:rPr>
        <w:t xml:space="preserve">A </w:t>
      </w:r>
      <w:r w:rsidRPr="00DF29C9">
        <w:rPr>
          <w:rFonts w:ascii="Arial" w:hAnsi="Arial" w:cs="Arial"/>
          <w:sz w:val="28"/>
          <w:szCs w:val="28"/>
        </w:rPr>
        <w:t xml:space="preserve">PROJU/IBRAM </w:t>
      </w:r>
      <w:r w:rsidR="009E5B4B">
        <w:rPr>
          <w:rFonts w:ascii="Arial" w:hAnsi="Arial" w:cs="Arial"/>
          <w:sz w:val="28"/>
          <w:szCs w:val="28"/>
        </w:rPr>
        <w:t xml:space="preserve">emitiu despacho </w:t>
      </w:r>
      <w:r w:rsidRPr="00123245">
        <w:rPr>
          <w:rFonts w:ascii="Arial" w:hAnsi="Arial" w:cs="Arial"/>
          <w:b/>
          <w:sz w:val="28"/>
          <w:szCs w:val="28"/>
        </w:rPr>
        <w:t xml:space="preserve">favorável ao desconto da taxa de análise do Licenciamento </w:t>
      </w:r>
      <w:r w:rsidRPr="00DF29C9">
        <w:rPr>
          <w:rFonts w:ascii="Arial" w:hAnsi="Arial" w:cs="Arial"/>
          <w:sz w:val="28"/>
          <w:szCs w:val="28"/>
        </w:rPr>
        <w:t>(fls. 2763 a 2764);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9E5B4B">
        <w:rPr>
          <w:rFonts w:ascii="Arial" w:hAnsi="Arial" w:cs="Arial"/>
          <w:sz w:val="28"/>
          <w:szCs w:val="28"/>
        </w:rPr>
        <w:t>A</w:t>
      </w:r>
      <w:r w:rsidRPr="00123245">
        <w:rPr>
          <w:rFonts w:ascii="Arial" w:hAnsi="Arial" w:cs="Arial"/>
          <w:b/>
          <w:sz w:val="28"/>
          <w:szCs w:val="28"/>
        </w:rPr>
        <w:t xml:space="preserve"> Presidência do IBRAM </w:t>
      </w:r>
      <w:r w:rsidR="009E5B4B">
        <w:rPr>
          <w:rFonts w:ascii="Arial" w:hAnsi="Arial" w:cs="Arial"/>
          <w:b/>
          <w:sz w:val="28"/>
          <w:szCs w:val="28"/>
        </w:rPr>
        <w:t>elaborou manifestação concedendo o desconto de 60% no valor d</w:t>
      </w:r>
      <w:r w:rsidRPr="00123245">
        <w:rPr>
          <w:rFonts w:ascii="Arial" w:hAnsi="Arial" w:cs="Arial"/>
          <w:b/>
          <w:sz w:val="28"/>
          <w:szCs w:val="28"/>
        </w:rPr>
        <w:t>a taxa de análise</w:t>
      </w:r>
      <w:r w:rsidRPr="00DF29C9">
        <w:rPr>
          <w:rFonts w:ascii="Arial" w:hAnsi="Arial" w:cs="Arial"/>
          <w:sz w:val="28"/>
          <w:szCs w:val="28"/>
        </w:rPr>
        <w:t xml:space="preserve"> (fl. 2765);</w:t>
      </w:r>
    </w:p>
    <w:p w:rsidR="005E00A2" w:rsidRPr="00DF29C9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="009E5B4B">
        <w:rPr>
          <w:rFonts w:ascii="Arial" w:hAnsi="Arial" w:cs="Arial"/>
          <w:sz w:val="28"/>
          <w:szCs w:val="28"/>
        </w:rPr>
        <w:t>A</w:t>
      </w:r>
      <w:r w:rsidRPr="00123245">
        <w:rPr>
          <w:rFonts w:ascii="Arial" w:hAnsi="Arial" w:cs="Arial"/>
          <w:sz w:val="28"/>
          <w:szCs w:val="28"/>
        </w:rPr>
        <w:t xml:space="preserve"> Subsecretaria de Acompanhamento Ambiental</w:t>
      </w:r>
      <w:r w:rsidRPr="00123245">
        <w:rPr>
          <w:rFonts w:ascii="Arial" w:hAnsi="Arial" w:cs="Arial"/>
          <w:b/>
          <w:sz w:val="28"/>
          <w:szCs w:val="28"/>
        </w:rPr>
        <w:t xml:space="preserve"> inform</w:t>
      </w:r>
      <w:r w:rsidR="009E5B4B">
        <w:rPr>
          <w:rFonts w:ascii="Arial" w:hAnsi="Arial" w:cs="Arial"/>
          <w:b/>
          <w:sz w:val="28"/>
          <w:szCs w:val="28"/>
        </w:rPr>
        <w:t>ou</w:t>
      </w:r>
      <w:r w:rsidRPr="00123245">
        <w:rPr>
          <w:rFonts w:ascii="Arial" w:hAnsi="Arial" w:cs="Arial"/>
          <w:b/>
          <w:sz w:val="28"/>
          <w:szCs w:val="28"/>
        </w:rPr>
        <w:t xml:space="preserve"> que a compensação </w:t>
      </w:r>
      <w:r w:rsidR="009E5B4B">
        <w:rPr>
          <w:rFonts w:ascii="Arial" w:hAnsi="Arial" w:cs="Arial"/>
          <w:b/>
          <w:sz w:val="28"/>
          <w:szCs w:val="28"/>
        </w:rPr>
        <w:t>florestal</w:t>
      </w:r>
      <w:r w:rsidRPr="00123245">
        <w:rPr>
          <w:rFonts w:ascii="Arial" w:hAnsi="Arial" w:cs="Arial"/>
          <w:b/>
          <w:sz w:val="28"/>
          <w:szCs w:val="28"/>
        </w:rPr>
        <w:t xml:space="preserve"> não se aplica, </w:t>
      </w:r>
      <w:r w:rsidRPr="00123245">
        <w:rPr>
          <w:rFonts w:ascii="Arial" w:hAnsi="Arial" w:cs="Arial"/>
          <w:sz w:val="28"/>
          <w:szCs w:val="28"/>
        </w:rPr>
        <w:t xml:space="preserve">considerando que não houve supressão de vegetação nativa e sim de indivíduos arbóreos do gênero </w:t>
      </w:r>
      <w:r w:rsidRPr="00123245">
        <w:rPr>
          <w:rFonts w:ascii="Arial" w:hAnsi="Arial" w:cs="Arial"/>
          <w:i/>
          <w:sz w:val="28"/>
          <w:szCs w:val="28"/>
        </w:rPr>
        <w:t>pinus</w:t>
      </w:r>
      <w:r w:rsidRPr="0012324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123245">
        <w:rPr>
          <w:rFonts w:ascii="Arial" w:hAnsi="Arial" w:cs="Arial"/>
          <w:i/>
          <w:sz w:val="28"/>
          <w:szCs w:val="28"/>
        </w:rPr>
        <w:t>sp</w:t>
      </w:r>
      <w:proofErr w:type="gramEnd"/>
      <w:r w:rsidRPr="00123245">
        <w:rPr>
          <w:rFonts w:ascii="Arial" w:hAnsi="Arial" w:cs="Arial"/>
          <w:i/>
          <w:sz w:val="28"/>
          <w:szCs w:val="28"/>
        </w:rPr>
        <w:t xml:space="preserve">. </w:t>
      </w:r>
      <w:proofErr w:type="gramStart"/>
      <w:r w:rsidRPr="00123245">
        <w:rPr>
          <w:rFonts w:ascii="Arial" w:hAnsi="Arial" w:cs="Arial"/>
          <w:sz w:val="28"/>
          <w:szCs w:val="28"/>
        </w:rPr>
        <w:t>remanescente</w:t>
      </w:r>
      <w:proofErr w:type="gramEnd"/>
      <w:r w:rsidRPr="00123245">
        <w:rPr>
          <w:rFonts w:ascii="Arial" w:hAnsi="Arial" w:cs="Arial"/>
          <w:sz w:val="28"/>
          <w:szCs w:val="28"/>
        </w:rPr>
        <w:t xml:space="preserve"> do Projeto IX da Empresa </w:t>
      </w:r>
      <w:proofErr w:type="spellStart"/>
      <w:r w:rsidRPr="00123245">
        <w:rPr>
          <w:rFonts w:ascii="Arial" w:hAnsi="Arial" w:cs="Arial"/>
          <w:sz w:val="28"/>
          <w:szCs w:val="28"/>
        </w:rPr>
        <w:t>Proflora</w:t>
      </w:r>
      <w:proofErr w:type="spellEnd"/>
      <w:r w:rsidRPr="00DF29C9">
        <w:rPr>
          <w:rFonts w:ascii="Arial" w:hAnsi="Arial" w:cs="Arial"/>
          <w:sz w:val="28"/>
          <w:szCs w:val="28"/>
        </w:rPr>
        <w:t xml:space="preserve"> (fls. 2769 a 2779);</w:t>
      </w:r>
    </w:p>
    <w:p w:rsidR="00123245" w:rsidRDefault="005E00A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DF29C9">
        <w:rPr>
          <w:rFonts w:ascii="Arial" w:hAnsi="Arial" w:cs="Arial"/>
          <w:sz w:val="28"/>
          <w:szCs w:val="28"/>
        </w:rPr>
        <w:tab/>
        <w:t xml:space="preserve">- </w:t>
      </w:r>
      <w:r w:rsidRPr="00123245">
        <w:rPr>
          <w:rFonts w:ascii="Arial" w:hAnsi="Arial" w:cs="Arial"/>
          <w:sz w:val="28"/>
          <w:szCs w:val="28"/>
        </w:rPr>
        <w:t>Parecer Técnico nº 064/2014 – GRUPAR</w:t>
      </w:r>
      <w:r w:rsidRPr="00123245">
        <w:rPr>
          <w:rFonts w:ascii="Arial" w:hAnsi="Arial" w:cs="Arial"/>
          <w:b/>
          <w:sz w:val="28"/>
          <w:szCs w:val="28"/>
        </w:rPr>
        <w:t xml:space="preserve"> </w:t>
      </w:r>
      <w:r w:rsidR="00123245">
        <w:rPr>
          <w:rFonts w:ascii="Arial" w:hAnsi="Arial" w:cs="Arial"/>
          <w:b/>
          <w:sz w:val="28"/>
          <w:szCs w:val="28"/>
        </w:rPr>
        <w:t xml:space="preserve">informando que a região já é atendida regularmente com serviços de água e esgoto </w:t>
      </w:r>
      <w:r w:rsidR="005D69EC">
        <w:rPr>
          <w:rFonts w:ascii="Arial" w:hAnsi="Arial" w:cs="Arial"/>
          <w:b/>
          <w:sz w:val="28"/>
          <w:szCs w:val="28"/>
        </w:rPr>
        <w:t xml:space="preserve">fornecido pela CAESB e </w:t>
      </w:r>
      <w:r w:rsidRPr="00123245">
        <w:rPr>
          <w:rFonts w:ascii="Arial" w:hAnsi="Arial" w:cs="Arial"/>
          <w:b/>
          <w:sz w:val="28"/>
          <w:szCs w:val="28"/>
        </w:rPr>
        <w:t xml:space="preserve">favorável a concessão de Licença de Instalação Corretiva </w:t>
      </w:r>
      <w:r w:rsidRPr="00123245">
        <w:rPr>
          <w:rFonts w:ascii="Arial" w:hAnsi="Arial" w:cs="Arial"/>
          <w:sz w:val="28"/>
          <w:szCs w:val="28"/>
        </w:rPr>
        <w:t xml:space="preserve">para o Projeto Urbanístico URB 149/09 e MDE 114/09 (aprovados no Processo 392.030.569/2013), </w:t>
      </w:r>
      <w:r w:rsidR="005D69EC">
        <w:rPr>
          <w:rFonts w:ascii="Arial" w:hAnsi="Arial" w:cs="Arial"/>
          <w:sz w:val="28"/>
          <w:szCs w:val="28"/>
        </w:rPr>
        <w:t xml:space="preserve">incluindo 25 condicionantes, exigência e restrições ambientais (listadas abaixo) </w:t>
      </w:r>
      <w:r w:rsidRPr="00123245">
        <w:rPr>
          <w:rFonts w:ascii="Arial" w:hAnsi="Arial" w:cs="Arial"/>
          <w:sz w:val="28"/>
          <w:szCs w:val="28"/>
        </w:rPr>
        <w:t xml:space="preserve">excluindo os </w:t>
      </w:r>
      <w:r w:rsidR="00123245">
        <w:rPr>
          <w:rFonts w:ascii="Arial" w:hAnsi="Arial" w:cs="Arial"/>
          <w:sz w:val="28"/>
          <w:szCs w:val="28"/>
        </w:rPr>
        <w:t xml:space="preserve">lotes </w:t>
      </w:r>
      <w:r w:rsidRPr="00123245">
        <w:rPr>
          <w:rFonts w:ascii="Arial" w:hAnsi="Arial" w:cs="Arial"/>
          <w:sz w:val="28"/>
          <w:szCs w:val="28"/>
        </w:rPr>
        <w:t xml:space="preserve">que se localizam em solos </w:t>
      </w:r>
      <w:proofErr w:type="spellStart"/>
      <w:r w:rsidRPr="00123245">
        <w:rPr>
          <w:rFonts w:ascii="Arial" w:hAnsi="Arial" w:cs="Arial"/>
          <w:sz w:val="28"/>
          <w:szCs w:val="28"/>
        </w:rPr>
        <w:t>hidromórficos</w:t>
      </w:r>
      <w:proofErr w:type="spellEnd"/>
      <w:r w:rsidR="00123245" w:rsidRPr="00123245">
        <w:rPr>
          <w:rFonts w:ascii="Arial" w:hAnsi="Arial" w:cs="Arial"/>
          <w:sz w:val="28"/>
          <w:szCs w:val="28"/>
        </w:rPr>
        <w:t xml:space="preserve"> (fls</w:t>
      </w:r>
      <w:r w:rsidRPr="00123245">
        <w:rPr>
          <w:rFonts w:ascii="Arial" w:hAnsi="Arial" w:cs="Arial"/>
          <w:sz w:val="28"/>
          <w:szCs w:val="28"/>
        </w:rPr>
        <w:t>.</w:t>
      </w:r>
      <w:r w:rsidR="00123245" w:rsidRPr="00123245">
        <w:rPr>
          <w:rFonts w:ascii="Arial" w:hAnsi="Arial" w:cs="Arial"/>
          <w:sz w:val="28"/>
          <w:szCs w:val="28"/>
        </w:rPr>
        <w:t xml:space="preserve"> </w:t>
      </w:r>
      <w:r w:rsidR="005D69EC">
        <w:rPr>
          <w:rFonts w:ascii="Arial" w:hAnsi="Arial" w:cs="Arial"/>
          <w:sz w:val="28"/>
          <w:szCs w:val="28"/>
        </w:rPr>
        <w:t>2780 a 2801);</w:t>
      </w:r>
    </w:p>
    <w:p w:rsidR="005D69EC" w:rsidRDefault="005D69EC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</w:p>
    <w:p w:rsidR="005D69EC" w:rsidRPr="007E1DEB" w:rsidRDefault="005D69EC" w:rsidP="005D69E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B202D7">
        <w:rPr>
          <w:rFonts w:ascii="Arial" w:hAnsi="Arial" w:cs="Arial"/>
          <w:b/>
          <w:sz w:val="24"/>
          <w:szCs w:val="24"/>
        </w:rPr>
        <w:t>DAS CONDICIONANTES, EXIGÊNCI</w:t>
      </w:r>
      <w:r>
        <w:rPr>
          <w:rFonts w:ascii="Arial" w:hAnsi="Arial" w:cs="Arial"/>
          <w:b/>
          <w:sz w:val="24"/>
          <w:szCs w:val="24"/>
        </w:rPr>
        <w:t>AS E RESTRIÇÕES DESTA LICENÇA D</w:t>
      </w:r>
      <w:r w:rsidRPr="00B202D7">
        <w:rPr>
          <w:rFonts w:ascii="Arial" w:hAnsi="Arial" w:cs="Arial"/>
          <w:b/>
          <w:sz w:val="24"/>
          <w:szCs w:val="24"/>
        </w:rPr>
        <w:t>E INSTALAÇÃO</w:t>
      </w:r>
      <w:r w:rsidRPr="00B202D7">
        <w:rPr>
          <w:rFonts w:ascii="Arial" w:hAnsi="Arial" w:cs="Arial"/>
        </w:rPr>
        <w:t>: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7E1DEB">
        <w:rPr>
          <w:rFonts w:ascii="Arial" w:hAnsi="Arial" w:cs="Arial"/>
          <w:b/>
          <w:sz w:val="28"/>
          <w:szCs w:val="28"/>
        </w:rPr>
        <w:t>Esta Licença de Instalação se restringe apenas ao projeto urbanístico URB e MDE 114/09 de acordo com os projetos urbanísticos aprovados e anexados ao processo de regularização urbanística nº 392.030.569/2013;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As Áreas </w:t>
      </w:r>
      <w:r w:rsidR="006339D0">
        <w:rPr>
          <w:rFonts w:ascii="Arial" w:hAnsi="Arial" w:cs="Arial"/>
          <w:sz w:val="28"/>
          <w:szCs w:val="28"/>
        </w:rPr>
        <w:t>de Preservação Permanente – APP</w:t>
      </w:r>
      <w:r w:rsidRPr="007E1DEB">
        <w:rPr>
          <w:rFonts w:ascii="Arial" w:hAnsi="Arial" w:cs="Arial"/>
          <w:sz w:val="28"/>
          <w:szCs w:val="28"/>
        </w:rPr>
        <w:t xml:space="preserve">, identificadas e delimitadas na poligonal de projeto, </w:t>
      </w:r>
      <w:r w:rsidRPr="007E1DEB">
        <w:rPr>
          <w:rFonts w:ascii="Arial" w:hAnsi="Arial" w:cs="Arial"/>
          <w:b/>
          <w:sz w:val="28"/>
          <w:szCs w:val="28"/>
        </w:rPr>
        <w:t xml:space="preserve">não poderão ser objeto de novas ocupações por edificações e/ou constituição de </w:t>
      </w:r>
      <w:proofErr w:type="gramStart"/>
      <w:r w:rsidRPr="007E1DEB">
        <w:rPr>
          <w:rFonts w:ascii="Arial" w:hAnsi="Arial" w:cs="Arial"/>
          <w:b/>
          <w:sz w:val="28"/>
          <w:szCs w:val="28"/>
        </w:rPr>
        <w:t>novas unidades imobiliárias,</w:t>
      </w:r>
      <w:r w:rsidRPr="007E1DEB">
        <w:rPr>
          <w:rFonts w:ascii="Arial" w:hAnsi="Arial" w:cs="Arial"/>
          <w:sz w:val="28"/>
          <w:szCs w:val="28"/>
        </w:rPr>
        <w:t xml:space="preserve"> observado</w:t>
      </w:r>
      <w:proofErr w:type="gramEnd"/>
      <w:r w:rsidRPr="007E1DEB">
        <w:rPr>
          <w:rFonts w:ascii="Arial" w:hAnsi="Arial" w:cs="Arial"/>
          <w:sz w:val="28"/>
          <w:szCs w:val="28"/>
        </w:rPr>
        <w:t xml:space="preserve"> o disposto na legislação vigente;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É vedada a ocupação urbana em áreas sujeitas à inundação e nas áreas de risco geotécnico;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lastRenderedPageBreak/>
        <w:t xml:space="preserve">Os lotes inseridos na poligonal de solo </w:t>
      </w:r>
      <w:proofErr w:type="spellStart"/>
      <w:r w:rsidRPr="007E1DEB">
        <w:rPr>
          <w:rFonts w:ascii="Arial" w:hAnsi="Arial" w:cs="Arial"/>
          <w:sz w:val="28"/>
          <w:szCs w:val="28"/>
        </w:rPr>
        <w:t>hidromórfico</w:t>
      </w:r>
      <w:proofErr w:type="spellEnd"/>
      <w:r w:rsidR="006339D0">
        <w:rPr>
          <w:rFonts w:ascii="Arial" w:hAnsi="Arial" w:cs="Arial"/>
          <w:sz w:val="28"/>
          <w:szCs w:val="28"/>
        </w:rPr>
        <w:t>,</w:t>
      </w:r>
      <w:r w:rsidRPr="007E1DEB">
        <w:rPr>
          <w:rFonts w:ascii="Arial" w:hAnsi="Arial" w:cs="Arial"/>
          <w:sz w:val="28"/>
          <w:szCs w:val="28"/>
        </w:rPr>
        <w:t xml:space="preserve"> identificada no contexto do RCA e listadas no </w:t>
      </w:r>
      <w:r w:rsidRPr="007E1DEB">
        <w:rPr>
          <w:rFonts w:ascii="Arial" w:hAnsi="Arial" w:cs="Arial"/>
          <w:b/>
          <w:sz w:val="28"/>
          <w:szCs w:val="28"/>
        </w:rPr>
        <w:t>anexo I do Parecer Técnico nº 064/2014</w:t>
      </w:r>
      <w:r w:rsidR="006339D0">
        <w:rPr>
          <w:rFonts w:ascii="Arial" w:hAnsi="Arial" w:cs="Arial"/>
          <w:b/>
          <w:sz w:val="28"/>
          <w:szCs w:val="28"/>
        </w:rPr>
        <w:t>,</w:t>
      </w:r>
      <w:r w:rsidRPr="007E1DEB">
        <w:rPr>
          <w:rFonts w:ascii="Arial" w:hAnsi="Arial" w:cs="Arial"/>
          <w:color w:val="FF0000"/>
          <w:sz w:val="28"/>
          <w:szCs w:val="28"/>
        </w:rPr>
        <w:t xml:space="preserve"> </w:t>
      </w:r>
      <w:r w:rsidRPr="007E1DEB">
        <w:rPr>
          <w:rFonts w:ascii="Arial" w:hAnsi="Arial" w:cs="Arial"/>
          <w:sz w:val="28"/>
          <w:szCs w:val="28"/>
        </w:rPr>
        <w:t>não são objeto desta licença;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O interessado deverá retirar termo de referência no GRUPAR para </w:t>
      </w:r>
      <w:proofErr w:type="gramStart"/>
      <w:r w:rsidRPr="007E1DEB">
        <w:rPr>
          <w:rFonts w:ascii="Arial" w:hAnsi="Arial" w:cs="Arial"/>
          <w:sz w:val="28"/>
          <w:szCs w:val="28"/>
        </w:rPr>
        <w:t xml:space="preserve">apresentação de estudo geotécnico das áreas ocupadas em solo </w:t>
      </w:r>
      <w:proofErr w:type="spellStart"/>
      <w:r w:rsidRPr="007E1DEB">
        <w:rPr>
          <w:rFonts w:ascii="Arial" w:hAnsi="Arial" w:cs="Arial"/>
          <w:sz w:val="28"/>
          <w:szCs w:val="28"/>
        </w:rPr>
        <w:t>hidromórfico</w:t>
      </w:r>
      <w:proofErr w:type="spellEnd"/>
      <w:r w:rsidR="006339D0">
        <w:rPr>
          <w:rFonts w:ascii="Arial" w:hAnsi="Arial" w:cs="Arial"/>
          <w:sz w:val="28"/>
          <w:szCs w:val="28"/>
        </w:rPr>
        <w:t>,</w:t>
      </w:r>
      <w:r w:rsidRPr="007E1DEB">
        <w:rPr>
          <w:rFonts w:ascii="Arial" w:hAnsi="Arial" w:cs="Arial"/>
          <w:sz w:val="28"/>
          <w:szCs w:val="28"/>
        </w:rPr>
        <w:t xml:space="preserve"> com objetivo de subsidiar a decisão sobre o licenciamento das unidades imobiliárias nele</w:t>
      </w:r>
      <w:proofErr w:type="gramEnd"/>
      <w:r w:rsidRPr="007E1DEB">
        <w:rPr>
          <w:rFonts w:ascii="Arial" w:hAnsi="Arial" w:cs="Arial"/>
          <w:sz w:val="28"/>
          <w:szCs w:val="28"/>
        </w:rPr>
        <w:t xml:space="preserve"> edificadas no prazo máximo de 60 dias após a emissão desta licença;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O interessado deverá apresentar o estudo de que trata o item anterior em até 180 dias após o recebimento do Termo de Referência no GRUPAR;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Após a definição do estudo de que trata os itens </w:t>
      </w:r>
      <w:proofErr w:type="gramStart"/>
      <w:r w:rsidRPr="007E1DEB">
        <w:rPr>
          <w:rFonts w:ascii="Arial" w:hAnsi="Arial" w:cs="Arial"/>
          <w:sz w:val="28"/>
          <w:szCs w:val="28"/>
        </w:rPr>
        <w:t>5</w:t>
      </w:r>
      <w:proofErr w:type="gramEnd"/>
      <w:r w:rsidRPr="007E1DEB">
        <w:rPr>
          <w:rFonts w:ascii="Arial" w:hAnsi="Arial" w:cs="Arial"/>
          <w:sz w:val="28"/>
          <w:szCs w:val="28"/>
        </w:rPr>
        <w:t xml:space="preserve"> e 6, o GRUPAR emitirá Parecer Técnico visando a aprovação do estudo geotécnico, no qual definirá as condições para regularização dos lotes envolvidos e proporá a retificação da licença de instalação, se for o caso;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Promover a desocupação das áreas de preservação permanente ocupadas na poligonal de projeto no prazo de 12 meses e retirar o termo de referência no IBRAM para Plano de Recuperação de Áreas Degradadas (PRAD) no prazo de 30 dias após a desocupação;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Nas áreas verdes públicas deve ser dada prioridade à manutenção ou plantio de espécies do bioma cerrado seguindo critérios técnicos para a escolha das espécies a serem plantadas;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Preservar as matas </w:t>
      </w:r>
      <w:proofErr w:type="gramStart"/>
      <w:r w:rsidRPr="007E1DEB">
        <w:rPr>
          <w:rFonts w:ascii="Arial" w:hAnsi="Arial" w:cs="Arial"/>
          <w:sz w:val="28"/>
          <w:szCs w:val="28"/>
        </w:rPr>
        <w:t>remanescentes ao longo dos Córregos Mato Grande</w:t>
      </w:r>
      <w:proofErr w:type="gramEnd"/>
      <w:r w:rsidRPr="007E1DEB">
        <w:rPr>
          <w:rFonts w:ascii="Arial" w:hAnsi="Arial" w:cs="Arial"/>
          <w:sz w:val="28"/>
          <w:szCs w:val="28"/>
        </w:rPr>
        <w:t xml:space="preserve"> e Bora Manso e do Ribeirão Santo Antônio da Papuda, de maneira a induzir a formação dos chamados corredores ecológicos;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O interessado deverá retirar termo de referência na COPAR/SUGAP/IBRAM para apresentação de Plano de Manejo da ARIE MATO GRANDE como medida mitigadora com o objetivo de subsidiar a gestão daquela unidade de conservação no prazo máximo de 60 dias após a emissão desta licença;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lastRenderedPageBreak/>
        <w:t>O interessado deverá apresentar o Plano de Manejo de que trata o item anterior em até 180 dias após o recebimento do Termo de Referência na COPAR/SUGAP/IBRAM;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O interessado deverá iniciar a regularização, no âmbito do processo de licenciamento do sistema de drenagem pluvial (191.000.084/1997), da execução do projeto referente ao bairro Bonsucesso, onde ainda não foram executados os dispositivos de coleta (boca de lobo) em vias secundárias no prazo máximo de 120 dias após a emissão desta licença;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Adotar os programas de monitoramento ambiental descritos no RCA/PCA;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Adotar Programa de Monitoramento de qualidade da água e drenagem pluvial com o objetivo de avaliar os aspectos de qualidade dos recursos hídricos;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Adotar Programa de Controle de Erosão com o objetivo de minimizar o assoreamento dos corpos hídricos;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Adotar Programa de Recuperação de Á</w:t>
      </w:r>
      <w:r w:rsidR="006339D0">
        <w:rPr>
          <w:rFonts w:ascii="Arial" w:hAnsi="Arial" w:cs="Arial"/>
          <w:sz w:val="28"/>
          <w:szCs w:val="28"/>
        </w:rPr>
        <w:t>reas Degradadas e Conservação das</w:t>
      </w:r>
      <w:r w:rsidRPr="007E1DEB">
        <w:rPr>
          <w:rFonts w:ascii="Arial" w:hAnsi="Arial" w:cs="Arial"/>
          <w:sz w:val="28"/>
          <w:szCs w:val="28"/>
        </w:rPr>
        <w:t xml:space="preserve"> APP com objetivo de recuperação e manutenção das matas ciliares e vegetação remanescente;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Adotar Programa de Gerenciamento de Resíduos Sólidos com objetivo de dar-lhes destino adequado preservando os aspectos socioambientais envolvidos;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Adotar Programa de Educação Ambiental, de caráter contínuo e com </w:t>
      </w:r>
      <w:proofErr w:type="gramStart"/>
      <w:r w:rsidRPr="007E1DEB">
        <w:rPr>
          <w:rFonts w:ascii="Arial" w:hAnsi="Arial" w:cs="Arial"/>
          <w:sz w:val="28"/>
          <w:szCs w:val="28"/>
        </w:rPr>
        <w:t>participação de entidades e associações, voltado</w:t>
      </w:r>
      <w:proofErr w:type="gramEnd"/>
      <w:r w:rsidRPr="007E1DEB">
        <w:rPr>
          <w:rFonts w:ascii="Arial" w:hAnsi="Arial" w:cs="Arial"/>
          <w:sz w:val="28"/>
          <w:szCs w:val="28"/>
        </w:rPr>
        <w:t xml:space="preserve"> para a conscientização da comunidade quanto ao uso dos recursos naturais, a conservação das espécies nativas remanescentes, o combate à poluição, a necessidade de preservação das matas de galeria e nascentes, etc.;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Apresentar relatório anual que aborde a realização e os resultados dos programas descritos nos itens 14 a 19;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 xml:space="preserve">A compensação ambiental não será devida, nos termos da manifestação da Procuradoria Jurídica do IBRAM, com data de </w:t>
      </w:r>
      <w:proofErr w:type="gramStart"/>
      <w:r w:rsidRPr="007E1DEB">
        <w:rPr>
          <w:rFonts w:ascii="Arial" w:hAnsi="Arial" w:cs="Arial"/>
          <w:sz w:val="28"/>
          <w:szCs w:val="28"/>
        </w:rPr>
        <w:t>2</w:t>
      </w:r>
      <w:proofErr w:type="gramEnd"/>
      <w:r w:rsidRPr="007E1DEB">
        <w:rPr>
          <w:rFonts w:ascii="Arial" w:hAnsi="Arial" w:cs="Arial"/>
          <w:sz w:val="28"/>
          <w:szCs w:val="28"/>
        </w:rPr>
        <w:t xml:space="preserve"> de julho de 2014, em </w:t>
      </w:r>
      <w:r w:rsidRPr="007E1DEB">
        <w:rPr>
          <w:rFonts w:ascii="Arial" w:hAnsi="Arial" w:cs="Arial"/>
          <w:sz w:val="28"/>
          <w:szCs w:val="28"/>
        </w:rPr>
        <w:lastRenderedPageBreak/>
        <w:t>resposta ao Ofício n. 193/2014 – SERCOND, constante nas folhas nº 2373 a 2379 do processo de licenciamento (191.000.756/1992);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A compensação florestal pretérita não será devida conforme justificativa apresentada às folhas nº 2769 a 2779</w:t>
      </w:r>
      <w:r w:rsidRPr="007E1DEB">
        <w:rPr>
          <w:rFonts w:ascii="Arial" w:hAnsi="Arial" w:cs="Arial"/>
          <w:color w:val="FF0000"/>
          <w:sz w:val="28"/>
          <w:szCs w:val="28"/>
        </w:rPr>
        <w:t xml:space="preserve"> </w:t>
      </w:r>
      <w:r w:rsidRPr="007E1DEB">
        <w:rPr>
          <w:rFonts w:ascii="Arial" w:hAnsi="Arial" w:cs="Arial"/>
          <w:sz w:val="28"/>
          <w:szCs w:val="28"/>
        </w:rPr>
        <w:t>do processo de licenciamento (191.000.756/1992)</w:t>
      </w:r>
      <w:r w:rsidR="006339D0">
        <w:rPr>
          <w:rFonts w:ascii="Arial" w:hAnsi="Arial" w:cs="Arial"/>
          <w:sz w:val="28"/>
          <w:szCs w:val="28"/>
        </w:rPr>
        <w:t>.</w:t>
      </w:r>
      <w:r w:rsidRPr="007E1DEB">
        <w:rPr>
          <w:rFonts w:ascii="Arial" w:hAnsi="Arial" w:cs="Arial"/>
          <w:sz w:val="28"/>
          <w:szCs w:val="28"/>
        </w:rPr>
        <w:t xml:space="preserve"> Em relação </w:t>
      </w:r>
      <w:r w:rsidR="006339D0">
        <w:rPr>
          <w:rFonts w:ascii="Arial" w:hAnsi="Arial" w:cs="Arial"/>
          <w:sz w:val="28"/>
          <w:szCs w:val="28"/>
        </w:rPr>
        <w:t>à</w:t>
      </w:r>
      <w:r w:rsidRPr="007E1DEB">
        <w:rPr>
          <w:rFonts w:ascii="Arial" w:hAnsi="Arial" w:cs="Arial"/>
          <w:sz w:val="28"/>
          <w:szCs w:val="28"/>
        </w:rPr>
        <w:t xml:space="preserve"> possível supressão vegetal devido à implantação de infraestrutura, complementar </w:t>
      </w:r>
      <w:r w:rsidR="006339D0">
        <w:rPr>
          <w:rFonts w:ascii="Arial" w:hAnsi="Arial" w:cs="Arial"/>
          <w:sz w:val="28"/>
          <w:szCs w:val="28"/>
        </w:rPr>
        <w:t>à</w:t>
      </w:r>
      <w:r w:rsidRPr="007E1DEB">
        <w:rPr>
          <w:rFonts w:ascii="Arial" w:hAnsi="Arial" w:cs="Arial"/>
          <w:sz w:val="28"/>
          <w:szCs w:val="28"/>
        </w:rPr>
        <w:t xml:space="preserve"> existente, há um processo específico autuado para a compensação florestal de tais obras sob o n° 391.001.691/2012. Portanto essa licença ambiental não autoriza a supressão de nenhum indivíduo arbóreo;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A emissão da Licença de Operação - LO fica condicionada ao cumprimento das condicionantes, exigências e restrições da Licença de Instalação do referido empreendimento;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Comunicar ao IBRAM, imediatamente, a ocorrência de qualquer acidente que venha causar riscos e/ou danos ao meio ambiente;</w:t>
      </w:r>
    </w:p>
    <w:p w:rsidR="005D69EC" w:rsidRPr="007E1DEB" w:rsidRDefault="005D69EC" w:rsidP="005D69EC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E1DEB">
        <w:rPr>
          <w:rFonts w:ascii="Arial" w:hAnsi="Arial" w:cs="Arial"/>
          <w:sz w:val="28"/>
          <w:szCs w:val="28"/>
        </w:rPr>
        <w:t>Outras condicionantes poderão ser estabelecidas pelo IBRAM, a qualquer tempo, quando couber.</w:t>
      </w:r>
    </w:p>
    <w:p w:rsidR="005D69EC" w:rsidRDefault="005D69EC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</w:p>
    <w:p w:rsidR="005D69EC" w:rsidRPr="00123245" w:rsidRDefault="005D69EC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</w:p>
    <w:p w:rsidR="005E00A2" w:rsidRDefault="00123245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-</w:t>
      </w:r>
      <w:proofErr w:type="gramStart"/>
      <w:r>
        <w:rPr>
          <w:rFonts w:ascii="Arial" w:hAnsi="Arial" w:cs="Arial"/>
          <w:sz w:val="28"/>
          <w:szCs w:val="28"/>
        </w:rPr>
        <w:t xml:space="preserve">  </w:t>
      </w:r>
      <w:proofErr w:type="gramEnd"/>
      <w:r>
        <w:rPr>
          <w:rFonts w:ascii="Arial" w:hAnsi="Arial" w:cs="Arial"/>
          <w:sz w:val="28"/>
          <w:szCs w:val="28"/>
        </w:rPr>
        <w:t>Informação Técnica nº 400.000.040/2014 – SULFI/IBRAM informando que o empreendedor cumpriu todos os trâmites administrativos e favorável ao envio do processo para análise e manifestação do CONAM-DF</w:t>
      </w:r>
      <w:r w:rsidR="005D69EC">
        <w:rPr>
          <w:rFonts w:ascii="Arial" w:hAnsi="Arial" w:cs="Arial"/>
          <w:sz w:val="28"/>
          <w:szCs w:val="28"/>
        </w:rPr>
        <w:t xml:space="preserve"> antes da expedição da LI Corretiva</w:t>
      </w:r>
      <w:r>
        <w:rPr>
          <w:rFonts w:ascii="Arial" w:hAnsi="Arial" w:cs="Arial"/>
          <w:sz w:val="28"/>
          <w:szCs w:val="28"/>
        </w:rPr>
        <w:t xml:space="preserve"> (fls. 2804 a 2809).</w:t>
      </w:r>
    </w:p>
    <w:p w:rsidR="005D69EC" w:rsidRDefault="005D69EC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</w:p>
    <w:p w:rsidR="005D69EC" w:rsidRDefault="005D69EC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IV </w:t>
      </w:r>
      <w:r w:rsidR="00E17E32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VOTO</w:t>
      </w:r>
    </w:p>
    <w:p w:rsidR="00E17E32" w:rsidRPr="005A4D5E" w:rsidRDefault="00E17E3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Pr="005A4D5E">
        <w:rPr>
          <w:rFonts w:ascii="Arial" w:hAnsi="Arial" w:cs="Arial"/>
          <w:sz w:val="28"/>
          <w:szCs w:val="28"/>
        </w:rPr>
        <w:t>Considerando que o empreendedor cumpriu todos os requisitos técnicos e jurídicos;</w:t>
      </w:r>
    </w:p>
    <w:p w:rsidR="00E17E32" w:rsidRPr="005A4D5E" w:rsidRDefault="00E17E3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5A4D5E">
        <w:rPr>
          <w:rFonts w:ascii="Arial" w:hAnsi="Arial" w:cs="Arial"/>
          <w:sz w:val="28"/>
          <w:szCs w:val="28"/>
        </w:rPr>
        <w:tab/>
        <w:t>Considerando que a regularização da área encontra-se em consonância com o PDOT – 2009 e alterações;</w:t>
      </w:r>
    </w:p>
    <w:p w:rsidR="00E17E32" w:rsidRPr="005A4D5E" w:rsidRDefault="00E17E32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5A4D5E">
        <w:rPr>
          <w:rFonts w:ascii="Arial" w:hAnsi="Arial" w:cs="Arial"/>
          <w:sz w:val="28"/>
          <w:szCs w:val="28"/>
        </w:rPr>
        <w:lastRenderedPageBreak/>
        <w:tab/>
        <w:t xml:space="preserve">Considerando que o empreendimento atende </w:t>
      </w:r>
      <w:r w:rsidR="006339D0">
        <w:rPr>
          <w:rFonts w:ascii="Arial" w:hAnsi="Arial" w:cs="Arial"/>
          <w:sz w:val="28"/>
          <w:szCs w:val="28"/>
        </w:rPr>
        <w:t>à</w:t>
      </w:r>
      <w:r w:rsidRPr="005A4D5E">
        <w:rPr>
          <w:rFonts w:ascii="Arial" w:hAnsi="Arial" w:cs="Arial"/>
          <w:sz w:val="28"/>
          <w:szCs w:val="28"/>
        </w:rPr>
        <w:t>s normas estipuladas no Zoneamento Ambiental da APA da Bacia do Rio São Bartolomeu;</w:t>
      </w:r>
    </w:p>
    <w:p w:rsidR="00C37F9A" w:rsidRPr="005A4D5E" w:rsidRDefault="00C37F9A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5A4D5E">
        <w:rPr>
          <w:rFonts w:ascii="Arial" w:hAnsi="Arial" w:cs="Arial"/>
          <w:sz w:val="28"/>
          <w:szCs w:val="28"/>
        </w:rPr>
        <w:tab/>
        <w:t xml:space="preserve">Considerando que a Região Administrativa de São Sebastião </w:t>
      </w:r>
      <w:r w:rsidR="00B05CD7" w:rsidRPr="005A4D5E">
        <w:rPr>
          <w:rFonts w:ascii="Arial" w:hAnsi="Arial" w:cs="Arial"/>
          <w:sz w:val="28"/>
          <w:szCs w:val="28"/>
        </w:rPr>
        <w:t>está inserida em Área de Re</w:t>
      </w:r>
      <w:r w:rsidR="004B6E10" w:rsidRPr="005A4D5E">
        <w:rPr>
          <w:rFonts w:ascii="Arial" w:hAnsi="Arial" w:cs="Arial"/>
          <w:sz w:val="28"/>
          <w:szCs w:val="28"/>
        </w:rPr>
        <w:t>gularização de</w:t>
      </w:r>
      <w:r w:rsidR="00B05CD7" w:rsidRPr="005A4D5E">
        <w:rPr>
          <w:rFonts w:ascii="Arial" w:hAnsi="Arial" w:cs="Arial"/>
          <w:sz w:val="28"/>
          <w:szCs w:val="28"/>
        </w:rPr>
        <w:t xml:space="preserve"> Interesse Social;</w:t>
      </w:r>
    </w:p>
    <w:p w:rsidR="004B6E10" w:rsidRPr="005A4D5E" w:rsidRDefault="004B6E10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5A4D5E">
        <w:rPr>
          <w:rFonts w:ascii="Arial" w:hAnsi="Arial" w:cs="Arial"/>
          <w:sz w:val="28"/>
          <w:szCs w:val="28"/>
        </w:rPr>
        <w:tab/>
        <w:t>Considerando que a Região Administrativa de São Sebastião já é atendida com rede de serviços de drenagem, água, esgoto e energia;</w:t>
      </w:r>
    </w:p>
    <w:p w:rsidR="004B6E10" w:rsidRPr="005A4D5E" w:rsidRDefault="004B6E10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5A4D5E">
        <w:rPr>
          <w:rFonts w:ascii="Arial" w:hAnsi="Arial" w:cs="Arial"/>
          <w:sz w:val="28"/>
          <w:szCs w:val="28"/>
        </w:rPr>
        <w:tab/>
        <w:t>Considerando que a regularização fundiária e ambiental permitirá a melhoria dos serviços de infraestrutura da área, reduzindo os impactos ambientais na região;</w:t>
      </w:r>
    </w:p>
    <w:p w:rsidR="004B6E10" w:rsidRPr="005A4D5E" w:rsidRDefault="004B6E10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5A4D5E">
        <w:rPr>
          <w:rFonts w:ascii="Arial" w:hAnsi="Arial" w:cs="Arial"/>
          <w:sz w:val="28"/>
          <w:szCs w:val="28"/>
        </w:rPr>
        <w:tab/>
        <w:t>Considerando que os impactos sociais são altamente positivos;</w:t>
      </w:r>
    </w:p>
    <w:p w:rsidR="004B6E10" w:rsidRDefault="004B6E10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  <w:r w:rsidRPr="005A4D5E">
        <w:rPr>
          <w:rFonts w:ascii="Arial" w:hAnsi="Arial" w:cs="Arial"/>
          <w:sz w:val="28"/>
          <w:szCs w:val="28"/>
        </w:rPr>
        <w:tab/>
        <w:t xml:space="preserve">Considerando que os impactos ambientais </w:t>
      </w:r>
      <w:r w:rsidR="007E20BF" w:rsidRPr="005A4D5E">
        <w:rPr>
          <w:rFonts w:ascii="Arial" w:hAnsi="Arial" w:cs="Arial"/>
          <w:sz w:val="28"/>
          <w:szCs w:val="28"/>
        </w:rPr>
        <w:t xml:space="preserve">existentes e futuros </w:t>
      </w:r>
      <w:r w:rsidRPr="005A4D5E">
        <w:rPr>
          <w:rFonts w:ascii="Arial" w:hAnsi="Arial" w:cs="Arial"/>
          <w:sz w:val="28"/>
          <w:szCs w:val="28"/>
        </w:rPr>
        <w:t>poderão ser minimizados com o cumprimento das condicionantes, exigências e restrições</w:t>
      </w:r>
      <w:r w:rsidR="005A4D5E" w:rsidRPr="005A4D5E">
        <w:rPr>
          <w:rFonts w:ascii="Arial" w:hAnsi="Arial" w:cs="Arial"/>
          <w:sz w:val="28"/>
          <w:szCs w:val="28"/>
        </w:rPr>
        <w:t>,</w:t>
      </w:r>
      <w:r w:rsidRPr="005A4D5E">
        <w:rPr>
          <w:rFonts w:ascii="Arial" w:hAnsi="Arial" w:cs="Arial"/>
          <w:sz w:val="28"/>
          <w:szCs w:val="28"/>
        </w:rPr>
        <w:t xml:space="preserve"> </w:t>
      </w:r>
      <w:r w:rsidRPr="005A4D5E">
        <w:rPr>
          <w:rFonts w:ascii="Arial" w:hAnsi="Arial" w:cs="Arial"/>
          <w:b/>
          <w:sz w:val="28"/>
          <w:szCs w:val="28"/>
        </w:rPr>
        <w:t>me manifesto pela continuidade do licenciamento ambiental da Região Administrativa de São Sebastião</w:t>
      </w:r>
      <w:r w:rsidR="00A11BCE">
        <w:rPr>
          <w:rFonts w:ascii="Arial" w:hAnsi="Arial" w:cs="Arial"/>
          <w:b/>
          <w:sz w:val="28"/>
          <w:szCs w:val="28"/>
        </w:rPr>
        <w:t xml:space="preserve">, </w:t>
      </w:r>
      <w:r w:rsidR="00A11BCE" w:rsidRPr="00A11BCE">
        <w:rPr>
          <w:rFonts w:ascii="Arial" w:hAnsi="Arial" w:cs="Arial"/>
          <w:sz w:val="28"/>
          <w:szCs w:val="28"/>
        </w:rPr>
        <w:t>desde que seja incorporada na respectiva Licença de Instalação Corretiva a condicionante sugerida na 50ª Reunião Extraordinária do CONAM, pelo conselheiro Felipe</w:t>
      </w:r>
      <w:r w:rsidR="00A11BC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11BCE">
        <w:rPr>
          <w:rFonts w:ascii="Arial" w:hAnsi="Arial" w:cs="Arial"/>
          <w:sz w:val="28"/>
          <w:szCs w:val="28"/>
        </w:rPr>
        <w:t>Longhi</w:t>
      </w:r>
      <w:proofErr w:type="spellEnd"/>
      <w:r w:rsidR="00A11BCE">
        <w:rPr>
          <w:rFonts w:ascii="Arial" w:hAnsi="Arial" w:cs="Arial"/>
          <w:sz w:val="28"/>
          <w:szCs w:val="28"/>
        </w:rPr>
        <w:t xml:space="preserve"> Pereira da Silva,</w:t>
      </w:r>
      <w:r w:rsidR="00A11BCE" w:rsidRPr="00A11BCE">
        <w:rPr>
          <w:rFonts w:ascii="Arial" w:hAnsi="Arial" w:cs="Arial"/>
          <w:sz w:val="28"/>
          <w:szCs w:val="28"/>
        </w:rPr>
        <w:t xml:space="preserve"> da TERRACAP, conforme ata em anexo, de que o empreendedor cumpra quaisquer exigências que venham a ser definidas pela DIVAL durante o prazo de vigência desta LI.</w:t>
      </w:r>
    </w:p>
    <w:p w:rsidR="005A4D5E" w:rsidRDefault="005A4D5E" w:rsidP="005E00A2">
      <w:pPr>
        <w:tabs>
          <w:tab w:val="left" w:pos="1134"/>
        </w:tabs>
        <w:spacing w:line="360" w:lineRule="auto"/>
        <w:ind w:right="142"/>
        <w:contextualSpacing/>
        <w:jc w:val="both"/>
        <w:rPr>
          <w:rFonts w:ascii="Arial" w:hAnsi="Arial" w:cs="Arial"/>
          <w:sz w:val="28"/>
          <w:szCs w:val="28"/>
        </w:rPr>
      </w:pPr>
    </w:p>
    <w:p w:rsidR="005A4D5E" w:rsidRDefault="005A4D5E" w:rsidP="005A4D5E">
      <w:pPr>
        <w:tabs>
          <w:tab w:val="left" w:pos="1134"/>
        </w:tabs>
        <w:spacing w:line="360" w:lineRule="auto"/>
        <w:ind w:right="142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Brasília,</w:t>
      </w:r>
      <w:r>
        <w:rPr>
          <w:rFonts w:ascii="Arial" w:hAnsi="Arial" w:cs="Arial"/>
          <w:sz w:val="28"/>
          <w:szCs w:val="28"/>
        </w:rPr>
        <w:tab/>
      </w:r>
      <w:r w:rsidR="006339D0">
        <w:rPr>
          <w:rFonts w:ascii="Arial" w:hAnsi="Arial" w:cs="Arial"/>
          <w:sz w:val="28"/>
          <w:szCs w:val="28"/>
        </w:rPr>
        <w:t xml:space="preserve">29 de julho de </w:t>
      </w:r>
      <w:r>
        <w:rPr>
          <w:rFonts w:ascii="Arial" w:hAnsi="Arial" w:cs="Arial"/>
          <w:sz w:val="28"/>
          <w:szCs w:val="28"/>
        </w:rPr>
        <w:t>2014.</w:t>
      </w:r>
    </w:p>
    <w:p w:rsidR="005A4D5E" w:rsidRDefault="005A4D5E" w:rsidP="005A4D5E">
      <w:pPr>
        <w:tabs>
          <w:tab w:val="left" w:pos="1134"/>
        </w:tabs>
        <w:spacing w:line="360" w:lineRule="auto"/>
        <w:ind w:right="142"/>
        <w:contextualSpacing/>
        <w:jc w:val="center"/>
        <w:rPr>
          <w:rFonts w:ascii="Arial" w:hAnsi="Arial" w:cs="Arial"/>
          <w:sz w:val="28"/>
          <w:szCs w:val="28"/>
        </w:rPr>
      </w:pPr>
    </w:p>
    <w:p w:rsidR="005A4D5E" w:rsidRDefault="005A4D5E" w:rsidP="005A4D5E">
      <w:pPr>
        <w:tabs>
          <w:tab w:val="left" w:pos="1134"/>
        </w:tabs>
        <w:spacing w:line="360" w:lineRule="auto"/>
        <w:ind w:right="142"/>
        <w:contextualSpacing/>
        <w:jc w:val="center"/>
        <w:rPr>
          <w:rFonts w:ascii="Arial" w:hAnsi="Arial" w:cs="Arial"/>
          <w:sz w:val="28"/>
          <w:szCs w:val="28"/>
        </w:rPr>
      </w:pPr>
    </w:p>
    <w:p w:rsidR="005A4D5E" w:rsidRDefault="005A4D5E" w:rsidP="005A4D5E">
      <w:pPr>
        <w:tabs>
          <w:tab w:val="left" w:pos="1134"/>
        </w:tabs>
        <w:spacing w:line="360" w:lineRule="auto"/>
        <w:ind w:right="142"/>
        <w:contextualSpacing/>
        <w:jc w:val="center"/>
        <w:rPr>
          <w:rFonts w:ascii="Arial" w:hAnsi="Arial" w:cs="Arial"/>
          <w:sz w:val="28"/>
          <w:szCs w:val="28"/>
        </w:rPr>
      </w:pPr>
    </w:p>
    <w:p w:rsidR="005A4D5E" w:rsidRPr="006339D0" w:rsidRDefault="006339D0" w:rsidP="005A4D5E">
      <w:pPr>
        <w:spacing w:line="360" w:lineRule="auto"/>
        <w:ind w:right="142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6339D0">
        <w:rPr>
          <w:rFonts w:ascii="Arial" w:hAnsi="Arial" w:cs="Arial"/>
          <w:b/>
          <w:sz w:val="28"/>
          <w:szCs w:val="28"/>
        </w:rPr>
        <w:t>PAULO CELSO DOS REIS GOMES</w:t>
      </w:r>
    </w:p>
    <w:p w:rsidR="005A4D5E" w:rsidRPr="006339D0" w:rsidRDefault="005A4D5E" w:rsidP="005A4D5E">
      <w:pPr>
        <w:tabs>
          <w:tab w:val="left" w:pos="0"/>
        </w:tabs>
        <w:spacing w:line="360" w:lineRule="auto"/>
        <w:ind w:right="142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6339D0">
        <w:rPr>
          <w:rFonts w:ascii="Arial" w:hAnsi="Arial" w:cs="Arial"/>
          <w:b/>
          <w:sz w:val="28"/>
          <w:szCs w:val="28"/>
        </w:rPr>
        <w:t>Conselheiro do CONAM-DF</w:t>
      </w:r>
    </w:p>
    <w:p w:rsidR="0077645E" w:rsidRDefault="005A4D5E" w:rsidP="005A4D5E">
      <w:pPr>
        <w:tabs>
          <w:tab w:val="left" w:pos="0"/>
        </w:tabs>
        <w:spacing w:line="360" w:lineRule="auto"/>
        <w:ind w:right="142"/>
        <w:contextualSpacing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6339D0">
        <w:rPr>
          <w:rFonts w:ascii="Arial" w:hAnsi="Arial" w:cs="Arial"/>
          <w:b/>
          <w:sz w:val="28"/>
          <w:szCs w:val="28"/>
        </w:rPr>
        <w:t xml:space="preserve">Representante da </w:t>
      </w:r>
      <w:r w:rsidR="006339D0" w:rsidRPr="006339D0">
        <w:rPr>
          <w:rFonts w:ascii="Arial" w:hAnsi="Arial" w:cs="Arial"/>
          <w:b/>
          <w:sz w:val="28"/>
          <w:szCs w:val="28"/>
        </w:rPr>
        <w:t>SEMARH</w:t>
      </w:r>
    </w:p>
    <w:p w:rsidR="00A11BCE" w:rsidRPr="0077645E" w:rsidRDefault="00A11BCE" w:rsidP="005A4D5E">
      <w:pPr>
        <w:pBdr>
          <w:bottom w:val="single" w:sz="12" w:space="1" w:color="auto"/>
        </w:pBdr>
        <w:tabs>
          <w:tab w:val="left" w:pos="0"/>
        </w:tabs>
        <w:spacing w:line="360" w:lineRule="auto"/>
        <w:ind w:right="142"/>
        <w:contextualSpacing/>
        <w:jc w:val="center"/>
        <w:rPr>
          <w:rFonts w:ascii="Arial" w:hAnsi="Arial" w:cs="Arial"/>
          <w:color w:val="FF0000"/>
          <w:sz w:val="28"/>
          <w:szCs w:val="28"/>
        </w:rPr>
      </w:pPr>
      <w:bookmarkStart w:id="0" w:name="_GoBack"/>
      <w:bookmarkEnd w:id="0"/>
    </w:p>
    <w:p w:rsidR="0077645E" w:rsidRPr="0077645E" w:rsidRDefault="0077645E" w:rsidP="0077645E">
      <w:pPr>
        <w:tabs>
          <w:tab w:val="left" w:pos="0"/>
        </w:tabs>
        <w:spacing w:line="360" w:lineRule="auto"/>
        <w:ind w:right="142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 w:rsidRPr="0077645E">
        <w:rPr>
          <w:rFonts w:ascii="Arial" w:hAnsi="Arial" w:cs="Arial"/>
          <w:color w:val="000000"/>
          <w:sz w:val="20"/>
          <w:szCs w:val="20"/>
        </w:rPr>
        <w:t xml:space="preserve">Os dados </w:t>
      </w:r>
      <w:r w:rsidR="00B21546">
        <w:rPr>
          <w:rFonts w:ascii="Arial" w:hAnsi="Arial" w:cs="Arial"/>
          <w:color w:val="000000"/>
          <w:sz w:val="20"/>
          <w:szCs w:val="20"/>
        </w:rPr>
        <w:t>que embasaram o</w:t>
      </w:r>
      <w:r w:rsidRPr="0077645E">
        <w:rPr>
          <w:rFonts w:ascii="Arial" w:hAnsi="Arial" w:cs="Arial"/>
          <w:color w:val="000000"/>
          <w:sz w:val="20"/>
          <w:szCs w:val="20"/>
        </w:rPr>
        <w:t xml:space="preserve"> relatório </w:t>
      </w:r>
      <w:r w:rsidR="00B21546">
        <w:rPr>
          <w:rFonts w:ascii="Arial" w:hAnsi="Arial" w:cs="Arial"/>
          <w:color w:val="000000"/>
          <w:sz w:val="20"/>
          <w:szCs w:val="20"/>
        </w:rPr>
        <w:t xml:space="preserve">são do </w:t>
      </w:r>
      <w:r w:rsidRPr="0077645E"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T</w:t>
      </w:r>
      <w:r w:rsidRPr="0077645E">
        <w:rPr>
          <w:rFonts w:ascii="Arial" w:hAnsi="Arial" w:cs="Arial"/>
          <w:color w:val="000000"/>
          <w:sz w:val="20"/>
          <w:szCs w:val="20"/>
        </w:rPr>
        <w:t xml:space="preserve"> nº </w:t>
      </w:r>
      <w:r>
        <w:rPr>
          <w:rFonts w:ascii="Arial" w:hAnsi="Arial" w:cs="Arial"/>
          <w:color w:val="000000"/>
          <w:sz w:val="20"/>
          <w:szCs w:val="20"/>
        </w:rPr>
        <w:t xml:space="preserve">064/2014 e </w:t>
      </w:r>
      <w:proofErr w:type="gramStart"/>
      <w:r w:rsidR="00B21546">
        <w:rPr>
          <w:rFonts w:ascii="Arial" w:hAnsi="Arial" w:cs="Arial"/>
          <w:color w:val="000000"/>
          <w:sz w:val="20"/>
          <w:szCs w:val="20"/>
        </w:rPr>
        <w:t xml:space="preserve">da </w:t>
      </w:r>
      <w:r>
        <w:rPr>
          <w:rFonts w:ascii="Arial" w:hAnsi="Arial" w:cs="Arial"/>
          <w:color w:val="000000"/>
          <w:sz w:val="20"/>
          <w:szCs w:val="20"/>
        </w:rPr>
        <w:t>IT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nº 400.000.040/2014-SULFI.</w:t>
      </w:r>
    </w:p>
    <w:sectPr w:rsidR="0077645E" w:rsidRPr="0077645E" w:rsidSect="007E1DEB">
      <w:footerReference w:type="default" r:id="rId13"/>
      <w:pgSz w:w="11906" w:h="16838"/>
      <w:pgMar w:top="1134" w:right="1134" w:bottom="851" w:left="1276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928" w:rsidRDefault="00D96928" w:rsidP="00FF36F6">
      <w:pPr>
        <w:spacing w:after="0" w:line="240" w:lineRule="auto"/>
      </w:pPr>
      <w:r>
        <w:separator/>
      </w:r>
    </w:p>
  </w:endnote>
  <w:endnote w:type="continuationSeparator" w:id="0">
    <w:p w:rsidR="00D96928" w:rsidRDefault="00D96928" w:rsidP="00FF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DEC" w:rsidRDefault="00E16DEC" w:rsidP="00FF579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928" w:rsidRDefault="00D96928" w:rsidP="00FF36F6">
      <w:pPr>
        <w:spacing w:after="0" w:line="240" w:lineRule="auto"/>
      </w:pPr>
      <w:r>
        <w:separator/>
      </w:r>
    </w:p>
  </w:footnote>
  <w:footnote w:type="continuationSeparator" w:id="0">
    <w:p w:rsidR="00D96928" w:rsidRDefault="00D96928" w:rsidP="00FF3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0F4C"/>
    <w:multiLevelType w:val="hybridMultilevel"/>
    <w:tmpl w:val="CE0E775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451204"/>
    <w:multiLevelType w:val="hybridMultilevel"/>
    <w:tmpl w:val="995027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33E24"/>
    <w:multiLevelType w:val="hybridMultilevel"/>
    <w:tmpl w:val="7A4EA274"/>
    <w:lvl w:ilvl="0" w:tplc="0416000D">
      <w:start w:val="1"/>
      <w:numFmt w:val="bullet"/>
      <w:lvlText w:val="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138A5187"/>
    <w:multiLevelType w:val="hybridMultilevel"/>
    <w:tmpl w:val="17BA78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D581F"/>
    <w:multiLevelType w:val="hybridMultilevel"/>
    <w:tmpl w:val="DED4EAEE"/>
    <w:lvl w:ilvl="0" w:tplc="BA80696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8050C"/>
    <w:multiLevelType w:val="hybridMultilevel"/>
    <w:tmpl w:val="766EF334"/>
    <w:lvl w:ilvl="0" w:tplc="3B14BE0C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C122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67C76E7"/>
    <w:multiLevelType w:val="hybridMultilevel"/>
    <w:tmpl w:val="F0B4C13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AAC1AC9"/>
    <w:multiLevelType w:val="hybridMultilevel"/>
    <w:tmpl w:val="78B41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D000CD"/>
    <w:multiLevelType w:val="hybridMultilevel"/>
    <w:tmpl w:val="FE9A08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31FA3"/>
    <w:multiLevelType w:val="hybridMultilevel"/>
    <w:tmpl w:val="9E0E144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BBE69FA"/>
    <w:multiLevelType w:val="hybridMultilevel"/>
    <w:tmpl w:val="7C540300"/>
    <w:lvl w:ilvl="0" w:tplc="4686FF0E">
      <w:start w:val="1"/>
      <w:numFmt w:val="decimal"/>
      <w:lvlText w:val="%1º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A5AC6"/>
    <w:multiLevelType w:val="hybridMultilevel"/>
    <w:tmpl w:val="0E4CC476"/>
    <w:lvl w:ilvl="0" w:tplc="81F4D44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9919E1"/>
    <w:multiLevelType w:val="hybridMultilevel"/>
    <w:tmpl w:val="5D063524"/>
    <w:lvl w:ilvl="0" w:tplc="E8629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855909"/>
    <w:multiLevelType w:val="hybridMultilevel"/>
    <w:tmpl w:val="00621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F2388F"/>
    <w:multiLevelType w:val="hybridMultilevel"/>
    <w:tmpl w:val="22BABC42"/>
    <w:lvl w:ilvl="0" w:tplc="1A90795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022683"/>
    <w:multiLevelType w:val="hybridMultilevel"/>
    <w:tmpl w:val="44EEE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6321E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3AC0BAE"/>
    <w:multiLevelType w:val="hybridMultilevel"/>
    <w:tmpl w:val="F7D06D2C"/>
    <w:lvl w:ilvl="0" w:tplc="D2C8DD2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642B1703"/>
    <w:multiLevelType w:val="hybridMultilevel"/>
    <w:tmpl w:val="854E9A8E"/>
    <w:lvl w:ilvl="0" w:tplc="B3DA2E24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D6C225C"/>
    <w:multiLevelType w:val="hybridMultilevel"/>
    <w:tmpl w:val="A4DE4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A7557"/>
    <w:multiLevelType w:val="hybridMultilevel"/>
    <w:tmpl w:val="AA5AEF6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AA2C0C"/>
    <w:multiLevelType w:val="hybridMultilevel"/>
    <w:tmpl w:val="DEC6CD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7"/>
  </w:num>
  <w:num w:numId="5">
    <w:abstractNumId w:val="6"/>
  </w:num>
  <w:num w:numId="6">
    <w:abstractNumId w:val="17"/>
  </w:num>
  <w:num w:numId="7">
    <w:abstractNumId w:val="16"/>
  </w:num>
  <w:num w:numId="8">
    <w:abstractNumId w:val="8"/>
  </w:num>
  <w:num w:numId="9">
    <w:abstractNumId w:val="3"/>
  </w:num>
  <w:num w:numId="10">
    <w:abstractNumId w:val="21"/>
  </w:num>
  <w:num w:numId="11">
    <w:abstractNumId w:val="14"/>
  </w:num>
  <w:num w:numId="12">
    <w:abstractNumId w:val="12"/>
  </w:num>
  <w:num w:numId="13">
    <w:abstractNumId w:val="4"/>
  </w:num>
  <w:num w:numId="14">
    <w:abstractNumId w:val="15"/>
  </w:num>
  <w:num w:numId="15">
    <w:abstractNumId w:val="9"/>
  </w:num>
  <w:num w:numId="16">
    <w:abstractNumId w:val="11"/>
  </w:num>
  <w:num w:numId="17">
    <w:abstractNumId w:val="2"/>
  </w:num>
  <w:num w:numId="18">
    <w:abstractNumId w:val="19"/>
  </w:num>
  <w:num w:numId="19">
    <w:abstractNumId w:val="22"/>
  </w:num>
  <w:num w:numId="20">
    <w:abstractNumId w:val="5"/>
  </w:num>
  <w:num w:numId="21">
    <w:abstractNumId w:val="13"/>
  </w:num>
  <w:num w:numId="22">
    <w:abstractNumId w:val="10"/>
  </w:num>
  <w:num w:numId="23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F6"/>
    <w:rsid w:val="000033DB"/>
    <w:rsid w:val="00005332"/>
    <w:rsid w:val="0001378E"/>
    <w:rsid w:val="00013D22"/>
    <w:rsid w:val="00021921"/>
    <w:rsid w:val="00022273"/>
    <w:rsid w:val="00026CF5"/>
    <w:rsid w:val="000372F7"/>
    <w:rsid w:val="000412C7"/>
    <w:rsid w:val="00041D93"/>
    <w:rsid w:val="00047E2B"/>
    <w:rsid w:val="00047F52"/>
    <w:rsid w:val="000613D1"/>
    <w:rsid w:val="00061A99"/>
    <w:rsid w:val="000628C7"/>
    <w:rsid w:val="00063049"/>
    <w:rsid w:val="00070EE5"/>
    <w:rsid w:val="00073A09"/>
    <w:rsid w:val="0008247F"/>
    <w:rsid w:val="00085BF9"/>
    <w:rsid w:val="0009493C"/>
    <w:rsid w:val="00095D21"/>
    <w:rsid w:val="000A042A"/>
    <w:rsid w:val="000A257F"/>
    <w:rsid w:val="000A5E5E"/>
    <w:rsid w:val="000B2DC7"/>
    <w:rsid w:val="000B3F78"/>
    <w:rsid w:val="000B5CAD"/>
    <w:rsid w:val="000B6F46"/>
    <w:rsid w:val="000C25C4"/>
    <w:rsid w:val="000C6A78"/>
    <w:rsid w:val="000D560B"/>
    <w:rsid w:val="000E11CE"/>
    <w:rsid w:val="000E6BED"/>
    <w:rsid w:val="000E7117"/>
    <w:rsid w:val="000F37F2"/>
    <w:rsid w:val="00100674"/>
    <w:rsid w:val="00102FCC"/>
    <w:rsid w:val="001069B2"/>
    <w:rsid w:val="00123245"/>
    <w:rsid w:val="00123A1C"/>
    <w:rsid w:val="00127056"/>
    <w:rsid w:val="00136215"/>
    <w:rsid w:val="00146553"/>
    <w:rsid w:val="00147003"/>
    <w:rsid w:val="0015405F"/>
    <w:rsid w:val="00165AF4"/>
    <w:rsid w:val="00165C5F"/>
    <w:rsid w:val="00170076"/>
    <w:rsid w:val="00174451"/>
    <w:rsid w:val="001809F3"/>
    <w:rsid w:val="001814A2"/>
    <w:rsid w:val="00181BA6"/>
    <w:rsid w:val="00182570"/>
    <w:rsid w:val="00186FCB"/>
    <w:rsid w:val="001A12EA"/>
    <w:rsid w:val="001A258E"/>
    <w:rsid w:val="001A2CA5"/>
    <w:rsid w:val="001A43A4"/>
    <w:rsid w:val="001A461E"/>
    <w:rsid w:val="001A53CD"/>
    <w:rsid w:val="001A5555"/>
    <w:rsid w:val="001A5DCC"/>
    <w:rsid w:val="001B1BC7"/>
    <w:rsid w:val="001B1C2B"/>
    <w:rsid w:val="001B2B17"/>
    <w:rsid w:val="001B62DC"/>
    <w:rsid w:val="001B664E"/>
    <w:rsid w:val="001C03F2"/>
    <w:rsid w:val="001D3835"/>
    <w:rsid w:val="001D646E"/>
    <w:rsid w:val="001D6C08"/>
    <w:rsid w:val="001D7210"/>
    <w:rsid w:val="001E5144"/>
    <w:rsid w:val="001F3E98"/>
    <w:rsid w:val="00211A54"/>
    <w:rsid w:val="002144F7"/>
    <w:rsid w:val="00214D2A"/>
    <w:rsid w:val="00216F93"/>
    <w:rsid w:val="00217B90"/>
    <w:rsid w:val="00217D3D"/>
    <w:rsid w:val="00221933"/>
    <w:rsid w:val="00224605"/>
    <w:rsid w:val="00227A47"/>
    <w:rsid w:val="002316FD"/>
    <w:rsid w:val="00234933"/>
    <w:rsid w:val="00236B3E"/>
    <w:rsid w:val="00241958"/>
    <w:rsid w:val="002426D5"/>
    <w:rsid w:val="00256093"/>
    <w:rsid w:val="0025631B"/>
    <w:rsid w:val="00263F53"/>
    <w:rsid w:val="00274BE9"/>
    <w:rsid w:val="0027783B"/>
    <w:rsid w:val="002828B9"/>
    <w:rsid w:val="00287A2F"/>
    <w:rsid w:val="002A1F23"/>
    <w:rsid w:val="002A3FDD"/>
    <w:rsid w:val="002B46C4"/>
    <w:rsid w:val="002B4CCD"/>
    <w:rsid w:val="002B5FFF"/>
    <w:rsid w:val="002C23C8"/>
    <w:rsid w:val="002C5D7F"/>
    <w:rsid w:val="002C711A"/>
    <w:rsid w:val="002D7154"/>
    <w:rsid w:val="002E5FEF"/>
    <w:rsid w:val="002F1769"/>
    <w:rsid w:val="002F485A"/>
    <w:rsid w:val="002F5099"/>
    <w:rsid w:val="002F6B19"/>
    <w:rsid w:val="002F7FB8"/>
    <w:rsid w:val="0030041B"/>
    <w:rsid w:val="00307461"/>
    <w:rsid w:val="003118B7"/>
    <w:rsid w:val="00315CA9"/>
    <w:rsid w:val="00330C5C"/>
    <w:rsid w:val="00335889"/>
    <w:rsid w:val="00336D3C"/>
    <w:rsid w:val="003378AC"/>
    <w:rsid w:val="003401B0"/>
    <w:rsid w:val="00347F15"/>
    <w:rsid w:val="00352210"/>
    <w:rsid w:val="0035401D"/>
    <w:rsid w:val="00356D70"/>
    <w:rsid w:val="00356DE5"/>
    <w:rsid w:val="003578B7"/>
    <w:rsid w:val="00362194"/>
    <w:rsid w:val="00362237"/>
    <w:rsid w:val="00366678"/>
    <w:rsid w:val="00370591"/>
    <w:rsid w:val="0037260D"/>
    <w:rsid w:val="0037348A"/>
    <w:rsid w:val="00373A1F"/>
    <w:rsid w:val="0038048D"/>
    <w:rsid w:val="00382189"/>
    <w:rsid w:val="00382732"/>
    <w:rsid w:val="00382A63"/>
    <w:rsid w:val="00386263"/>
    <w:rsid w:val="003972D7"/>
    <w:rsid w:val="003A23B0"/>
    <w:rsid w:val="003A3815"/>
    <w:rsid w:val="003B0C86"/>
    <w:rsid w:val="003B2CA2"/>
    <w:rsid w:val="003B326A"/>
    <w:rsid w:val="003B41A5"/>
    <w:rsid w:val="003B6D01"/>
    <w:rsid w:val="003C46E6"/>
    <w:rsid w:val="003C621A"/>
    <w:rsid w:val="003C7374"/>
    <w:rsid w:val="003D57EE"/>
    <w:rsid w:val="003D5E17"/>
    <w:rsid w:val="003D6ED3"/>
    <w:rsid w:val="003E040B"/>
    <w:rsid w:val="003E3550"/>
    <w:rsid w:val="003E60DC"/>
    <w:rsid w:val="003E688E"/>
    <w:rsid w:val="003F2273"/>
    <w:rsid w:val="003F23B1"/>
    <w:rsid w:val="003F4089"/>
    <w:rsid w:val="00404325"/>
    <w:rsid w:val="00406809"/>
    <w:rsid w:val="0041022D"/>
    <w:rsid w:val="004106F1"/>
    <w:rsid w:val="004108CF"/>
    <w:rsid w:val="00410FB5"/>
    <w:rsid w:val="004135C5"/>
    <w:rsid w:val="00413981"/>
    <w:rsid w:val="0041615E"/>
    <w:rsid w:val="00427331"/>
    <w:rsid w:val="00427835"/>
    <w:rsid w:val="00430188"/>
    <w:rsid w:val="00441C6B"/>
    <w:rsid w:val="00447895"/>
    <w:rsid w:val="00451F7D"/>
    <w:rsid w:val="00463547"/>
    <w:rsid w:val="00475C4E"/>
    <w:rsid w:val="00476784"/>
    <w:rsid w:val="00477465"/>
    <w:rsid w:val="00480AC9"/>
    <w:rsid w:val="0048589B"/>
    <w:rsid w:val="004859A2"/>
    <w:rsid w:val="00491D40"/>
    <w:rsid w:val="004960D0"/>
    <w:rsid w:val="004978E6"/>
    <w:rsid w:val="00497F20"/>
    <w:rsid w:val="004A696D"/>
    <w:rsid w:val="004B0CED"/>
    <w:rsid w:val="004B175C"/>
    <w:rsid w:val="004B2EFE"/>
    <w:rsid w:val="004B3B6A"/>
    <w:rsid w:val="004B3D7E"/>
    <w:rsid w:val="004B6E10"/>
    <w:rsid w:val="004C5A84"/>
    <w:rsid w:val="004C6488"/>
    <w:rsid w:val="004D69E8"/>
    <w:rsid w:val="004E2356"/>
    <w:rsid w:val="004F0583"/>
    <w:rsid w:val="004F625E"/>
    <w:rsid w:val="00503B94"/>
    <w:rsid w:val="00504A86"/>
    <w:rsid w:val="005068B4"/>
    <w:rsid w:val="00507089"/>
    <w:rsid w:val="00507BAB"/>
    <w:rsid w:val="00514A08"/>
    <w:rsid w:val="00515D4F"/>
    <w:rsid w:val="00516796"/>
    <w:rsid w:val="00521CFD"/>
    <w:rsid w:val="00526383"/>
    <w:rsid w:val="00527872"/>
    <w:rsid w:val="005319D9"/>
    <w:rsid w:val="005334E9"/>
    <w:rsid w:val="00534164"/>
    <w:rsid w:val="0053533E"/>
    <w:rsid w:val="00536385"/>
    <w:rsid w:val="0054196D"/>
    <w:rsid w:val="00544FD7"/>
    <w:rsid w:val="005648BE"/>
    <w:rsid w:val="00570C22"/>
    <w:rsid w:val="00572A5B"/>
    <w:rsid w:val="0057310B"/>
    <w:rsid w:val="005753FA"/>
    <w:rsid w:val="005762FC"/>
    <w:rsid w:val="00577F89"/>
    <w:rsid w:val="0058208A"/>
    <w:rsid w:val="00582559"/>
    <w:rsid w:val="00585F9F"/>
    <w:rsid w:val="00591823"/>
    <w:rsid w:val="005A2A33"/>
    <w:rsid w:val="005A4D5E"/>
    <w:rsid w:val="005B19AC"/>
    <w:rsid w:val="005B4FB1"/>
    <w:rsid w:val="005B660C"/>
    <w:rsid w:val="005C5650"/>
    <w:rsid w:val="005D17BF"/>
    <w:rsid w:val="005D5905"/>
    <w:rsid w:val="005D69EC"/>
    <w:rsid w:val="005E0092"/>
    <w:rsid w:val="005E00A2"/>
    <w:rsid w:val="005E50D7"/>
    <w:rsid w:val="005E5A02"/>
    <w:rsid w:val="005E6FA5"/>
    <w:rsid w:val="005E7172"/>
    <w:rsid w:val="005F4377"/>
    <w:rsid w:val="005F4EAD"/>
    <w:rsid w:val="00601569"/>
    <w:rsid w:val="00602FA4"/>
    <w:rsid w:val="0060317D"/>
    <w:rsid w:val="00603B03"/>
    <w:rsid w:val="00606706"/>
    <w:rsid w:val="00606833"/>
    <w:rsid w:val="006072DD"/>
    <w:rsid w:val="006144B4"/>
    <w:rsid w:val="00614D43"/>
    <w:rsid w:val="00617C95"/>
    <w:rsid w:val="00621AD5"/>
    <w:rsid w:val="00624D0E"/>
    <w:rsid w:val="0062626B"/>
    <w:rsid w:val="00627D39"/>
    <w:rsid w:val="00630A56"/>
    <w:rsid w:val="006339D0"/>
    <w:rsid w:val="00633BA8"/>
    <w:rsid w:val="00635F52"/>
    <w:rsid w:val="00640BB6"/>
    <w:rsid w:val="00645D20"/>
    <w:rsid w:val="00664059"/>
    <w:rsid w:val="0066562D"/>
    <w:rsid w:val="00674EC1"/>
    <w:rsid w:val="00677D41"/>
    <w:rsid w:val="006808FB"/>
    <w:rsid w:val="00684F35"/>
    <w:rsid w:val="00692999"/>
    <w:rsid w:val="00694940"/>
    <w:rsid w:val="006A0AAB"/>
    <w:rsid w:val="006A1F02"/>
    <w:rsid w:val="006A6FEB"/>
    <w:rsid w:val="006A74E9"/>
    <w:rsid w:val="006C15E5"/>
    <w:rsid w:val="006C743C"/>
    <w:rsid w:val="006C7DE8"/>
    <w:rsid w:val="006D4FB7"/>
    <w:rsid w:val="006D4FF2"/>
    <w:rsid w:val="006D6FA0"/>
    <w:rsid w:val="006E2BD3"/>
    <w:rsid w:val="006E3056"/>
    <w:rsid w:val="006E4C89"/>
    <w:rsid w:val="006E5E8E"/>
    <w:rsid w:val="006F34AC"/>
    <w:rsid w:val="006F3A06"/>
    <w:rsid w:val="006F48BD"/>
    <w:rsid w:val="006F6327"/>
    <w:rsid w:val="0070300B"/>
    <w:rsid w:val="00703355"/>
    <w:rsid w:val="0070418E"/>
    <w:rsid w:val="00711909"/>
    <w:rsid w:val="00716C55"/>
    <w:rsid w:val="007234C4"/>
    <w:rsid w:val="007266BE"/>
    <w:rsid w:val="00727278"/>
    <w:rsid w:val="00730413"/>
    <w:rsid w:val="00730A4B"/>
    <w:rsid w:val="00731541"/>
    <w:rsid w:val="00732E36"/>
    <w:rsid w:val="007361EE"/>
    <w:rsid w:val="00736EEF"/>
    <w:rsid w:val="00737BD0"/>
    <w:rsid w:val="007402BB"/>
    <w:rsid w:val="00741ACF"/>
    <w:rsid w:val="007441A1"/>
    <w:rsid w:val="00744692"/>
    <w:rsid w:val="0075303F"/>
    <w:rsid w:val="00753217"/>
    <w:rsid w:val="007536B2"/>
    <w:rsid w:val="00754B3E"/>
    <w:rsid w:val="007558BB"/>
    <w:rsid w:val="00756298"/>
    <w:rsid w:val="00762EDA"/>
    <w:rsid w:val="00764AA3"/>
    <w:rsid w:val="007676FD"/>
    <w:rsid w:val="00767F38"/>
    <w:rsid w:val="007749B3"/>
    <w:rsid w:val="0077645E"/>
    <w:rsid w:val="00776BDD"/>
    <w:rsid w:val="00776E6A"/>
    <w:rsid w:val="00781210"/>
    <w:rsid w:val="007839E3"/>
    <w:rsid w:val="0078465E"/>
    <w:rsid w:val="00786FE8"/>
    <w:rsid w:val="00794C5E"/>
    <w:rsid w:val="007A1E2C"/>
    <w:rsid w:val="007C2429"/>
    <w:rsid w:val="007E0C78"/>
    <w:rsid w:val="007E0F98"/>
    <w:rsid w:val="007E1DEB"/>
    <w:rsid w:val="007E20BF"/>
    <w:rsid w:val="007E4377"/>
    <w:rsid w:val="007E7374"/>
    <w:rsid w:val="008011C9"/>
    <w:rsid w:val="00805158"/>
    <w:rsid w:val="00805E9D"/>
    <w:rsid w:val="00811DD0"/>
    <w:rsid w:val="008129EE"/>
    <w:rsid w:val="00813A5D"/>
    <w:rsid w:val="0082248B"/>
    <w:rsid w:val="00825A52"/>
    <w:rsid w:val="00830760"/>
    <w:rsid w:val="00831A20"/>
    <w:rsid w:val="00837FA4"/>
    <w:rsid w:val="008415DA"/>
    <w:rsid w:val="008422FD"/>
    <w:rsid w:val="008434F3"/>
    <w:rsid w:val="00856680"/>
    <w:rsid w:val="008604C4"/>
    <w:rsid w:val="008616E5"/>
    <w:rsid w:val="00865204"/>
    <w:rsid w:val="00884145"/>
    <w:rsid w:val="00884957"/>
    <w:rsid w:val="008B54A0"/>
    <w:rsid w:val="008C0857"/>
    <w:rsid w:val="008C1760"/>
    <w:rsid w:val="008C5690"/>
    <w:rsid w:val="008C78ED"/>
    <w:rsid w:val="008D22A8"/>
    <w:rsid w:val="008D29B5"/>
    <w:rsid w:val="008D339A"/>
    <w:rsid w:val="008E3001"/>
    <w:rsid w:val="008E7911"/>
    <w:rsid w:val="008F2611"/>
    <w:rsid w:val="008F3BBB"/>
    <w:rsid w:val="008F466F"/>
    <w:rsid w:val="008F6AF2"/>
    <w:rsid w:val="00907339"/>
    <w:rsid w:val="009150F3"/>
    <w:rsid w:val="00915CD1"/>
    <w:rsid w:val="00927AF6"/>
    <w:rsid w:val="00933505"/>
    <w:rsid w:val="00936D6D"/>
    <w:rsid w:val="00944F13"/>
    <w:rsid w:val="0095651E"/>
    <w:rsid w:val="009602BE"/>
    <w:rsid w:val="009755F5"/>
    <w:rsid w:val="009778E5"/>
    <w:rsid w:val="00977BA6"/>
    <w:rsid w:val="00982DD9"/>
    <w:rsid w:val="00982F3E"/>
    <w:rsid w:val="00985585"/>
    <w:rsid w:val="00996C8E"/>
    <w:rsid w:val="00996FEB"/>
    <w:rsid w:val="009A1182"/>
    <w:rsid w:val="009A4531"/>
    <w:rsid w:val="009B656B"/>
    <w:rsid w:val="009B65AC"/>
    <w:rsid w:val="009B6AB4"/>
    <w:rsid w:val="009B6DB0"/>
    <w:rsid w:val="009C1BEA"/>
    <w:rsid w:val="009C3149"/>
    <w:rsid w:val="009C5BE4"/>
    <w:rsid w:val="009C7FF7"/>
    <w:rsid w:val="009D743E"/>
    <w:rsid w:val="009E5B4B"/>
    <w:rsid w:val="009F0E82"/>
    <w:rsid w:val="009F45C8"/>
    <w:rsid w:val="009F7F1B"/>
    <w:rsid w:val="00A074E6"/>
    <w:rsid w:val="00A11BCE"/>
    <w:rsid w:val="00A12AB7"/>
    <w:rsid w:val="00A15167"/>
    <w:rsid w:val="00A202C5"/>
    <w:rsid w:val="00A32916"/>
    <w:rsid w:val="00A32F90"/>
    <w:rsid w:val="00A33E67"/>
    <w:rsid w:val="00A500C3"/>
    <w:rsid w:val="00A51325"/>
    <w:rsid w:val="00A513AC"/>
    <w:rsid w:val="00A51D5B"/>
    <w:rsid w:val="00A63614"/>
    <w:rsid w:val="00A717C7"/>
    <w:rsid w:val="00A74874"/>
    <w:rsid w:val="00A76E37"/>
    <w:rsid w:val="00A80498"/>
    <w:rsid w:val="00A80FE3"/>
    <w:rsid w:val="00A823DD"/>
    <w:rsid w:val="00A86AD8"/>
    <w:rsid w:val="00A97474"/>
    <w:rsid w:val="00AA238E"/>
    <w:rsid w:val="00AA4134"/>
    <w:rsid w:val="00AA4C64"/>
    <w:rsid w:val="00AB0640"/>
    <w:rsid w:val="00AB2FD2"/>
    <w:rsid w:val="00AB4C51"/>
    <w:rsid w:val="00AC14F1"/>
    <w:rsid w:val="00AC1F81"/>
    <w:rsid w:val="00AC22FD"/>
    <w:rsid w:val="00AC2445"/>
    <w:rsid w:val="00AC3D57"/>
    <w:rsid w:val="00AC589B"/>
    <w:rsid w:val="00AD1129"/>
    <w:rsid w:val="00AD15F0"/>
    <w:rsid w:val="00AD319B"/>
    <w:rsid w:val="00AD4D70"/>
    <w:rsid w:val="00AD67F6"/>
    <w:rsid w:val="00AE1768"/>
    <w:rsid w:val="00AE5BC9"/>
    <w:rsid w:val="00AE72DC"/>
    <w:rsid w:val="00AF201B"/>
    <w:rsid w:val="00AF2868"/>
    <w:rsid w:val="00AF3470"/>
    <w:rsid w:val="00AF5D57"/>
    <w:rsid w:val="00B01497"/>
    <w:rsid w:val="00B05CD7"/>
    <w:rsid w:val="00B077AA"/>
    <w:rsid w:val="00B1281B"/>
    <w:rsid w:val="00B12989"/>
    <w:rsid w:val="00B153B4"/>
    <w:rsid w:val="00B2056F"/>
    <w:rsid w:val="00B21546"/>
    <w:rsid w:val="00B21702"/>
    <w:rsid w:val="00B21BE1"/>
    <w:rsid w:val="00B22411"/>
    <w:rsid w:val="00B23DAD"/>
    <w:rsid w:val="00B279FF"/>
    <w:rsid w:val="00B27C39"/>
    <w:rsid w:val="00B30BFA"/>
    <w:rsid w:val="00B3101A"/>
    <w:rsid w:val="00B442EC"/>
    <w:rsid w:val="00B452DC"/>
    <w:rsid w:val="00B50A27"/>
    <w:rsid w:val="00B51233"/>
    <w:rsid w:val="00B53DA2"/>
    <w:rsid w:val="00B579EF"/>
    <w:rsid w:val="00B62018"/>
    <w:rsid w:val="00B62598"/>
    <w:rsid w:val="00B64F95"/>
    <w:rsid w:val="00B65A36"/>
    <w:rsid w:val="00B718BF"/>
    <w:rsid w:val="00B77919"/>
    <w:rsid w:val="00B77D90"/>
    <w:rsid w:val="00B81AC8"/>
    <w:rsid w:val="00B826E5"/>
    <w:rsid w:val="00B860CE"/>
    <w:rsid w:val="00B93337"/>
    <w:rsid w:val="00B947E2"/>
    <w:rsid w:val="00B94C2F"/>
    <w:rsid w:val="00BA5D07"/>
    <w:rsid w:val="00BB124B"/>
    <w:rsid w:val="00BB3C60"/>
    <w:rsid w:val="00BC077D"/>
    <w:rsid w:val="00BC0CA1"/>
    <w:rsid w:val="00BC1132"/>
    <w:rsid w:val="00BC2317"/>
    <w:rsid w:val="00BC6F71"/>
    <w:rsid w:val="00BD29ED"/>
    <w:rsid w:val="00BE0488"/>
    <w:rsid w:val="00BE0FC8"/>
    <w:rsid w:val="00BE3756"/>
    <w:rsid w:val="00BE39BC"/>
    <w:rsid w:val="00BE408C"/>
    <w:rsid w:val="00BF2431"/>
    <w:rsid w:val="00BF355C"/>
    <w:rsid w:val="00BF6C73"/>
    <w:rsid w:val="00BF7D37"/>
    <w:rsid w:val="00C13A89"/>
    <w:rsid w:val="00C21E70"/>
    <w:rsid w:val="00C2448E"/>
    <w:rsid w:val="00C24A21"/>
    <w:rsid w:val="00C25FA9"/>
    <w:rsid w:val="00C3400A"/>
    <w:rsid w:val="00C37F9A"/>
    <w:rsid w:val="00C421AC"/>
    <w:rsid w:val="00C42FEC"/>
    <w:rsid w:val="00C52457"/>
    <w:rsid w:val="00C53364"/>
    <w:rsid w:val="00C64150"/>
    <w:rsid w:val="00C646B2"/>
    <w:rsid w:val="00C73D85"/>
    <w:rsid w:val="00C73EBC"/>
    <w:rsid w:val="00C748A1"/>
    <w:rsid w:val="00C77DA2"/>
    <w:rsid w:val="00C80E10"/>
    <w:rsid w:val="00C82DDD"/>
    <w:rsid w:val="00C965F7"/>
    <w:rsid w:val="00C97593"/>
    <w:rsid w:val="00CA1D23"/>
    <w:rsid w:val="00CA1F97"/>
    <w:rsid w:val="00CA4FC3"/>
    <w:rsid w:val="00CA7DEC"/>
    <w:rsid w:val="00CB2C75"/>
    <w:rsid w:val="00CB4649"/>
    <w:rsid w:val="00CB4BDE"/>
    <w:rsid w:val="00CB567A"/>
    <w:rsid w:val="00CB7D5B"/>
    <w:rsid w:val="00CC25C2"/>
    <w:rsid w:val="00CC3ECE"/>
    <w:rsid w:val="00CC6AF0"/>
    <w:rsid w:val="00CC7227"/>
    <w:rsid w:val="00CC7333"/>
    <w:rsid w:val="00CD3ACA"/>
    <w:rsid w:val="00CD3D54"/>
    <w:rsid w:val="00CE4C19"/>
    <w:rsid w:val="00CE566F"/>
    <w:rsid w:val="00CE630F"/>
    <w:rsid w:val="00CE7B17"/>
    <w:rsid w:val="00CF5BFE"/>
    <w:rsid w:val="00CF77A0"/>
    <w:rsid w:val="00D01EFE"/>
    <w:rsid w:val="00D0337D"/>
    <w:rsid w:val="00D04087"/>
    <w:rsid w:val="00D12207"/>
    <w:rsid w:val="00D154B5"/>
    <w:rsid w:val="00D17D90"/>
    <w:rsid w:val="00D24DF2"/>
    <w:rsid w:val="00D438C0"/>
    <w:rsid w:val="00D43B19"/>
    <w:rsid w:val="00D43B2E"/>
    <w:rsid w:val="00D44637"/>
    <w:rsid w:val="00D51F5C"/>
    <w:rsid w:val="00D55F71"/>
    <w:rsid w:val="00D5647A"/>
    <w:rsid w:val="00D5652B"/>
    <w:rsid w:val="00D61AA7"/>
    <w:rsid w:val="00D63C3F"/>
    <w:rsid w:val="00D64BA9"/>
    <w:rsid w:val="00D67770"/>
    <w:rsid w:val="00D84849"/>
    <w:rsid w:val="00D872E3"/>
    <w:rsid w:val="00D8760D"/>
    <w:rsid w:val="00D9215E"/>
    <w:rsid w:val="00D95D78"/>
    <w:rsid w:val="00D96928"/>
    <w:rsid w:val="00D96A07"/>
    <w:rsid w:val="00DA22D5"/>
    <w:rsid w:val="00DA3D25"/>
    <w:rsid w:val="00DA613C"/>
    <w:rsid w:val="00DA61EA"/>
    <w:rsid w:val="00DB1533"/>
    <w:rsid w:val="00DB16BE"/>
    <w:rsid w:val="00DB2C9F"/>
    <w:rsid w:val="00DC6678"/>
    <w:rsid w:val="00DD3813"/>
    <w:rsid w:val="00DD71E9"/>
    <w:rsid w:val="00DE1A42"/>
    <w:rsid w:val="00DE4029"/>
    <w:rsid w:val="00DE453E"/>
    <w:rsid w:val="00DE4978"/>
    <w:rsid w:val="00DE5AF6"/>
    <w:rsid w:val="00DE604B"/>
    <w:rsid w:val="00DE6DB1"/>
    <w:rsid w:val="00DF01FD"/>
    <w:rsid w:val="00DF1E5A"/>
    <w:rsid w:val="00DF29C9"/>
    <w:rsid w:val="00DF3C9F"/>
    <w:rsid w:val="00DF4FCB"/>
    <w:rsid w:val="00DF7E9D"/>
    <w:rsid w:val="00E02F55"/>
    <w:rsid w:val="00E04F24"/>
    <w:rsid w:val="00E1309D"/>
    <w:rsid w:val="00E15B38"/>
    <w:rsid w:val="00E16DEC"/>
    <w:rsid w:val="00E17E32"/>
    <w:rsid w:val="00E22D43"/>
    <w:rsid w:val="00E25983"/>
    <w:rsid w:val="00E27D3E"/>
    <w:rsid w:val="00E32765"/>
    <w:rsid w:val="00E42D88"/>
    <w:rsid w:val="00E44C7C"/>
    <w:rsid w:val="00E554FC"/>
    <w:rsid w:val="00E63429"/>
    <w:rsid w:val="00E64381"/>
    <w:rsid w:val="00E70771"/>
    <w:rsid w:val="00E721B3"/>
    <w:rsid w:val="00E746C0"/>
    <w:rsid w:val="00E7649F"/>
    <w:rsid w:val="00E800F7"/>
    <w:rsid w:val="00E8259A"/>
    <w:rsid w:val="00E83D50"/>
    <w:rsid w:val="00E90D6B"/>
    <w:rsid w:val="00E930E8"/>
    <w:rsid w:val="00E93F42"/>
    <w:rsid w:val="00E957F5"/>
    <w:rsid w:val="00EA502F"/>
    <w:rsid w:val="00EA51DC"/>
    <w:rsid w:val="00EA59A6"/>
    <w:rsid w:val="00EB3E94"/>
    <w:rsid w:val="00EB72F1"/>
    <w:rsid w:val="00EB7DFA"/>
    <w:rsid w:val="00EC33C3"/>
    <w:rsid w:val="00EC74C0"/>
    <w:rsid w:val="00ED1DCB"/>
    <w:rsid w:val="00ED463F"/>
    <w:rsid w:val="00ED512F"/>
    <w:rsid w:val="00ED53C8"/>
    <w:rsid w:val="00EE7DB0"/>
    <w:rsid w:val="00EF5332"/>
    <w:rsid w:val="00F02885"/>
    <w:rsid w:val="00F03D43"/>
    <w:rsid w:val="00F1028F"/>
    <w:rsid w:val="00F10C8B"/>
    <w:rsid w:val="00F14000"/>
    <w:rsid w:val="00F15D67"/>
    <w:rsid w:val="00F1616F"/>
    <w:rsid w:val="00F165B8"/>
    <w:rsid w:val="00F240DC"/>
    <w:rsid w:val="00F41D83"/>
    <w:rsid w:val="00F42F0B"/>
    <w:rsid w:val="00F505C3"/>
    <w:rsid w:val="00F510B8"/>
    <w:rsid w:val="00F5438B"/>
    <w:rsid w:val="00F57CA3"/>
    <w:rsid w:val="00F654D1"/>
    <w:rsid w:val="00F659FF"/>
    <w:rsid w:val="00F728C8"/>
    <w:rsid w:val="00F7669C"/>
    <w:rsid w:val="00F8174F"/>
    <w:rsid w:val="00F82B61"/>
    <w:rsid w:val="00F85482"/>
    <w:rsid w:val="00F865BF"/>
    <w:rsid w:val="00F86CFB"/>
    <w:rsid w:val="00F92E03"/>
    <w:rsid w:val="00F95663"/>
    <w:rsid w:val="00F963C8"/>
    <w:rsid w:val="00FA6D18"/>
    <w:rsid w:val="00FB3B72"/>
    <w:rsid w:val="00FB6088"/>
    <w:rsid w:val="00FB6894"/>
    <w:rsid w:val="00FB6926"/>
    <w:rsid w:val="00FC32C3"/>
    <w:rsid w:val="00FD6415"/>
    <w:rsid w:val="00FD7523"/>
    <w:rsid w:val="00FD7D60"/>
    <w:rsid w:val="00FE4B60"/>
    <w:rsid w:val="00FF36F6"/>
    <w:rsid w:val="00FF4649"/>
    <w:rsid w:val="00FF5791"/>
    <w:rsid w:val="00FF6BE3"/>
    <w:rsid w:val="00FF70B2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DD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D7210"/>
    <w:pPr>
      <w:keepNext/>
      <w:spacing w:after="0" w:line="240" w:lineRule="auto"/>
      <w:ind w:firstLine="187"/>
      <w:jc w:val="center"/>
      <w:outlineLvl w:val="0"/>
    </w:pPr>
    <w:rPr>
      <w:rFonts w:ascii="Times New Roman" w:hAnsi="Times New Roman"/>
      <w:b/>
      <w:bCs/>
      <w:sz w:val="36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FF36F6"/>
    <w:pPr>
      <w:keepNext/>
      <w:suppressAutoHyphens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FF36F6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Cabealho">
    <w:name w:val="header"/>
    <w:basedOn w:val="Normal"/>
    <w:link w:val="CabealhoChar"/>
    <w:uiPriority w:val="99"/>
    <w:rsid w:val="00FF36F6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CabealhoChar">
    <w:name w:val="Cabeçalho Char"/>
    <w:link w:val="Cabealho"/>
    <w:uiPriority w:val="99"/>
    <w:rsid w:val="00FF36F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rsid w:val="00FF36F6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RodapChar">
    <w:name w:val="Rodapé Char"/>
    <w:link w:val="Rodap"/>
    <w:uiPriority w:val="99"/>
    <w:rsid w:val="00FF36F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yperlink">
    <w:name w:val="Hyperlink"/>
    <w:rsid w:val="00FF36F6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FF36F6"/>
    <w:pPr>
      <w:tabs>
        <w:tab w:val="left" w:pos="1418"/>
      </w:tabs>
      <w:spacing w:after="120" w:line="360" w:lineRule="auto"/>
      <w:jc w:val="both"/>
    </w:pPr>
    <w:rPr>
      <w:rFonts w:ascii="Arial" w:hAnsi="Arial"/>
      <w:sz w:val="26"/>
      <w:szCs w:val="26"/>
      <w:lang w:val="x-none" w:eastAsia="x-none"/>
    </w:rPr>
  </w:style>
  <w:style w:type="character" w:customStyle="1" w:styleId="CorpodetextoChar">
    <w:name w:val="Corpo de texto Char"/>
    <w:link w:val="Corpodetexto"/>
    <w:rsid w:val="00FF36F6"/>
    <w:rPr>
      <w:rFonts w:ascii="Arial" w:eastAsia="Times New Roman" w:hAnsi="Arial" w:cs="Arial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36F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FF36F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F5791"/>
    <w:rPr>
      <w:sz w:val="22"/>
      <w:szCs w:val="22"/>
    </w:rPr>
  </w:style>
  <w:style w:type="paragraph" w:styleId="PargrafodaLista">
    <w:name w:val="List Paragraph"/>
    <w:basedOn w:val="Normal"/>
    <w:uiPriority w:val="34"/>
    <w:qFormat/>
    <w:rsid w:val="00BF7D37"/>
    <w:pPr>
      <w:ind w:left="720"/>
      <w:contextualSpacing/>
    </w:pPr>
  </w:style>
  <w:style w:type="character" w:styleId="Forte">
    <w:name w:val="Strong"/>
    <w:uiPriority w:val="22"/>
    <w:qFormat/>
    <w:rsid w:val="0078465E"/>
    <w:rPr>
      <w:b/>
      <w:bCs/>
    </w:rPr>
  </w:style>
  <w:style w:type="character" w:customStyle="1" w:styleId="Ttulo1Char">
    <w:name w:val="Título 1 Char"/>
    <w:link w:val="Ttulo1"/>
    <w:rsid w:val="001D7210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E5144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1E5144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936D6D"/>
    <w:pPr>
      <w:spacing w:after="324" w:line="240" w:lineRule="auto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uiPriority w:val="39"/>
    <w:rsid w:val="00716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1">
    <w:name w:val="texto1"/>
    <w:basedOn w:val="Normal"/>
    <w:rsid w:val="00730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730A4B"/>
  </w:style>
  <w:style w:type="character" w:styleId="Refdecomentrio">
    <w:name w:val="annotation reference"/>
    <w:uiPriority w:val="99"/>
    <w:semiHidden/>
    <w:unhideWhenUsed/>
    <w:rsid w:val="004B2E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2E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2EFE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2EFE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uiPriority w:val="99"/>
    <w:semiHidden/>
    <w:rsid w:val="004B2EFE"/>
    <w:rPr>
      <w:b/>
      <w:bCs/>
    </w:rPr>
  </w:style>
  <w:style w:type="paragraph" w:customStyle="1" w:styleId="Default">
    <w:name w:val="Default"/>
    <w:rsid w:val="002F485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3401B0"/>
    <w:rPr>
      <w:sz w:val="22"/>
      <w:szCs w:val="22"/>
    </w:rPr>
  </w:style>
  <w:style w:type="character" w:styleId="Nmerodepgina">
    <w:name w:val="page number"/>
    <w:uiPriority w:val="99"/>
    <w:unhideWhenUsed/>
    <w:rsid w:val="00FD7D60"/>
    <w:rPr>
      <w:rFonts w:eastAsia="Times New Roman" w:cs="Times New Roman"/>
      <w:bCs w:val="0"/>
      <w:iCs w:val="0"/>
      <w:szCs w:val="22"/>
      <w:lang w:val="pt-BR"/>
    </w:rPr>
  </w:style>
  <w:style w:type="paragraph" w:customStyle="1" w:styleId="Recuodecorpodetexto22">
    <w:name w:val="Recuo de corpo de texto 22"/>
    <w:basedOn w:val="Normal"/>
    <w:rsid w:val="00630A56"/>
    <w:pPr>
      <w:overflowPunct w:val="0"/>
      <w:autoSpaceDE w:val="0"/>
      <w:autoSpaceDN w:val="0"/>
      <w:adjustRightInd w:val="0"/>
      <w:spacing w:after="0" w:line="240" w:lineRule="auto"/>
      <w:ind w:firstLine="1418"/>
      <w:jc w:val="both"/>
      <w:textAlignment w:val="baseline"/>
    </w:pPr>
    <w:rPr>
      <w:rFonts w:ascii="Times New Roman" w:hAnsi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DD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D7210"/>
    <w:pPr>
      <w:keepNext/>
      <w:spacing w:after="0" w:line="240" w:lineRule="auto"/>
      <w:ind w:firstLine="187"/>
      <w:jc w:val="center"/>
      <w:outlineLvl w:val="0"/>
    </w:pPr>
    <w:rPr>
      <w:rFonts w:ascii="Times New Roman" w:hAnsi="Times New Roman"/>
      <w:b/>
      <w:bCs/>
      <w:sz w:val="36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FF36F6"/>
    <w:pPr>
      <w:keepNext/>
      <w:suppressAutoHyphens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FF36F6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Cabealho">
    <w:name w:val="header"/>
    <w:basedOn w:val="Normal"/>
    <w:link w:val="CabealhoChar"/>
    <w:uiPriority w:val="99"/>
    <w:rsid w:val="00FF36F6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CabealhoChar">
    <w:name w:val="Cabeçalho Char"/>
    <w:link w:val="Cabealho"/>
    <w:uiPriority w:val="99"/>
    <w:rsid w:val="00FF36F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rsid w:val="00FF36F6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RodapChar">
    <w:name w:val="Rodapé Char"/>
    <w:link w:val="Rodap"/>
    <w:uiPriority w:val="99"/>
    <w:rsid w:val="00FF36F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yperlink">
    <w:name w:val="Hyperlink"/>
    <w:rsid w:val="00FF36F6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FF36F6"/>
    <w:pPr>
      <w:tabs>
        <w:tab w:val="left" w:pos="1418"/>
      </w:tabs>
      <w:spacing w:after="120" w:line="360" w:lineRule="auto"/>
      <w:jc w:val="both"/>
    </w:pPr>
    <w:rPr>
      <w:rFonts w:ascii="Arial" w:hAnsi="Arial"/>
      <w:sz w:val="26"/>
      <w:szCs w:val="26"/>
      <w:lang w:val="x-none" w:eastAsia="x-none"/>
    </w:rPr>
  </w:style>
  <w:style w:type="character" w:customStyle="1" w:styleId="CorpodetextoChar">
    <w:name w:val="Corpo de texto Char"/>
    <w:link w:val="Corpodetexto"/>
    <w:rsid w:val="00FF36F6"/>
    <w:rPr>
      <w:rFonts w:ascii="Arial" w:eastAsia="Times New Roman" w:hAnsi="Arial" w:cs="Arial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36F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FF36F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F5791"/>
    <w:rPr>
      <w:sz w:val="22"/>
      <w:szCs w:val="22"/>
    </w:rPr>
  </w:style>
  <w:style w:type="paragraph" w:styleId="PargrafodaLista">
    <w:name w:val="List Paragraph"/>
    <w:basedOn w:val="Normal"/>
    <w:uiPriority w:val="34"/>
    <w:qFormat/>
    <w:rsid w:val="00BF7D37"/>
    <w:pPr>
      <w:ind w:left="720"/>
      <w:contextualSpacing/>
    </w:pPr>
  </w:style>
  <w:style w:type="character" w:styleId="Forte">
    <w:name w:val="Strong"/>
    <w:uiPriority w:val="22"/>
    <w:qFormat/>
    <w:rsid w:val="0078465E"/>
    <w:rPr>
      <w:b/>
      <w:bCs/>
    </w:rPr>
  </w:style>
  <w:style w:type="character" w:customStyle="1" w:styleId="Ttulo1Char">
    <w:name w:val="Título 1 Char"/>
    <w:link w:val="Ttulo1"/>
    <w:rsid w:val="001D7210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E5144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1E5144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936D6D"/>
    <w:pPr>
      <w:spacing w:after="324" w:line="240" w:lineRule="auto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uiPriority w:val="39"/>
    <w:rsid w:val="00716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1">
    <w:name w:val="texto1"/>
    <w:basedOn w:val="Normal"/>
    <w:rsid w:val="00730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730A4B"/>
  </w:style>
  <w:style w:type="character" w:styleId="Refdecomentrio">
    <w:name w:val="annotation reference"/>
    <w:uiPriority w:val="99"/>
    <w:semiHidden/>
    <w:unhideWhenUsed/>
    <w:rsid w:val="004B2E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2E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2EFE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2EFE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uiPriority w:val="99"/>
    <w:semiHidden/>
    <w:rsid w:val="004B2EFE"/>
    <w:rPr>
      <w:b/>
      <w:bCs/>
    </w:rPr>
  </w:style>
  <w:style w:type="paragraph" w:customStyle="1" w:styleId="Default">
    <w:name w:val="Default"/>
    <w:rsid w:val="002F485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3401B0"/>
    <w:rPr>
      <w:sz w:val="22"/>
      <w:szCs w:val="22"/>
    </w:rPr>
  </w:style>
  <w:style w:type="character" w:styleId="Nmerodepgina">
    <w:name w:val="page number"/>
    <w:uiPriority w:val="99"/>
    <w:unhideWhenUsed/>
    <w:rsid w:val="00FD7D60"/>
    <w:rPr>
      <w:rFonts w:eastAsia="Times New Roman" w:cs="Times New Roman"/>
      <w:bCs w:val="0"/>
      <w:iCs w:val="0"/>
      <w:szCs w:val="22"/>
      <w:lang w:val="pt-BR"/>
    </w:rPr>
  </w:style>
  <w:style w:type="paragraph" w:customStyle="1" w:styleId="Recuodecorpodetexto22">
    <w:name w:val="Recuo de corpo de texto 22"/>
    <w:basedOn w:val="Normal"/>
    <w:rsid w:val="00630A56"/>
    <w:pPr>
      <w:overflowPunct w:val="0"/>
      <w:autoSpaceDE w:val="0"/>
      <w:autoSpaceDN w:val="0"/>
      <w:adjustRightInd w:val="0"/>
      <w:spacing w:after="0" w:line="240" w:lineRule="auto"/>
      <w:ind w:firstLine="1418"/>
      <w:jc w:val="both"/>
      <w:textAlignment w:val="baseline"/>
    </w:pPr>
    <w:rPr>
      <w:rFonts w:ascii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23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3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35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86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46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830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0785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01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060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66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597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552665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322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18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803570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88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2F948-CD63-46B5-B9BB-95D14D19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2935</Words>
  <Characters>15852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DISTRITO FEDERAL</Company>
  <LinksUpToDate>false</LinksUpToDate>
  <CharactersWithSpaces>18750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aldeci.vieira</dc:creator>
  <cp:lastModifiedBy>Paulo Celso dos Reis Gomes</cp:lastModifiedBy>
  <cp:revision>2</cp:revision>
  <cp:lastPrinted>2014-07-10T20:46:00Z</cp:lastPrinted>
  <dcterms:created xsi:type="dcterms:W3CDTF">2014-08-07T14:17:00Z</dcterms:created>
  <dcterms:modified xsi:type="dcterms:W3CDTF">2014-08-07T14:17:00Z</dcterms:modified>
</cp:coreProperties>
</file>