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EE" w:rsidRPr="0048692A" w:rsidRDefault="00015CEE" w:rsidP="00015CEE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2A">
        <w:rPr>
          <w:rFonts w:ascii="Times New Roman" w:hAnsi="Times New Roman" w:cs="Times New Roman"/>
          <w:b/>
          <w:sz w:val="24"/>
          <w:szCs w:val="24"/>
        </w:rPr>
        <w:t>RESOLUÇÃO N° 09 DE 20 DE DEZEMBRO 2017</w:t>
      </w:r>
      <w:r w:rsidR="0048692A">
        <w:rPr>
          <w:rFonts w:ascii="Times New Roman" w:hAnsi="Times New Roman" w:cs="Times New Roman"/>
          <w:b/>
          <w:sz w:val="24"/>
          <w:szCs w:val="24"/>
        </w:rPr>
        <w:t>. (*)</w:t>
      </w:r>
    </w:p>
    <w:p w:rsidR="000D32AB" w:rsidRPr="0048692A" w:rsidRDefault="000D32AB" w:rsidP="000D32AB">
      <w:pPr>
        <w:ind w:left="2552"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Disciplina, no âmbito do Distrito Federal, as normas para emissão de autorização ambiental.</w:t>
      </w:r>
    </w:p>
    <w:p w:rsidR="00C649EE" w:rsidRPr="0048692A" w:rsidRDefault="00015CEE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O CONSELHO DE MEIO AMBIENTE DO DISTRITO FEDERAL, em sua 66ª Reunião Extraordinária realizada no dia 20 de dezembro de 2017, no uso das competências que lhe confere os incisos III, X e XVI, do artigo 3º de seu Regimento Interno, aprovado pelo Decreto nº 38.001, de 07 de fevereiro de 2017, republicado no DODF nº 28, de 08 de fevereiro de 2017 e, c</w:t>
      </w:r>
      <w:r w:rsidR="00C649EE" w:rsidRPr="0048692A">
        <w:rPr>
          <w:rFonts w:ascii="Times New Roman" w:hAnsi="Times New Roman" w:cs="Times New Roman"/>
          <w:sz w:val="24"/>
          <w:szCs w:val="24"/>
        </w:rPr>
        <w:t>onsiderando que a Resolução CONAMA 237, de 19 de dezembro de 1997, em seu art. 2º, § 2º faculta ao órgão ambiental definir os critérios de exigibilidade, o detalhamento e a complementação das atividades sujeitas ao licenciamento ambiental;</w:t>
      </w:r>
    </w:p>
    <w:p w:rsidR="000D32AB" w:rsidRPr="0048692A" w:rsidRDefault="00015CEE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Considerando a</w:t>
      </w:r>
      <w:r w:rsidR="000D32AB" w:rsidRPr="0048692A">
        <w:rPr>
          <w:rFonts w:ascii="Times New Roman" w:hAnsi="Times New Roman" w:cs="Times New Roman"/>
          <w:sz w:val="24"/>
          <w:szCs w:val="24"/>
        </w:rPr>
        <w:t xml:space="preserve"> necessidade de normatização da autorização ambiental prevista no art. 17-L, da Lei Federal nº 6.938, 31 d</w:t>
      </w:r>
      <w:r w:rsidR="00796BE7" w:rsidRPr="0048692A">
        <w:rPr>
          <w:rFonts w:ascii="Times New Roman" w:hAnsi="Times New Roman" w:cs="Times New Roman"/>
          <w:sz w:val="24"/>
          <w:szCs w:val="24"/>
        </w:rPr>
        <w:t xml:space="preserve">e agosto de </w:t>
      </w:r>
      <w:proofErr w:type="gramStart"/>
      <w:r w:rsidR="00796BE7" w:rsidRPr="0048692A">
        <w:rPr>
          <w:rFonts w:ascii="Times New Roman" w:hAnsi="Times New Roman" w:cs="Times New Roman"/>
          <w:sz w:val="24"/>
          <w:szCs w:val="24"/>
        </w:rPr>
        <w:t>1981 e no seu Anexo,</w:t>
      </w:r>
      <w:r w:rsidR="000D32AB" w:rsidRPr="0048692A">
        <w:rPr>
          <w:rFonts w:ascii="Times New Roman" w:hAnsi="Times New Roman" w:cs="Times New Roman"/>
          <w:sz w:val="24"/>
          <w:szCs w:val="24"/>
        </w:rPr>
        <w:t xml:space="preserve"> incluído</w:t>
      </w:r>
      <w:r w:rsidR="00796BE7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="000D32AB" w:rsidRPr="0048692A">
        <w:rPr>
          <w:rFonts w:ascii="Times New Roman" w:hAnsi="Times New Roman" w:cs="Times New Roman"/>
          <w:sz w:val="24"/>
          <w:szCs w:val="24"/>
        </w:rPr>
        <w:t>pela Lei nº</w:t>
      </w:r>
      <w:proofErr w:type="gramEnd"/>
      <w:r w:rsidR="000D32AB" w:rsidRPr="0048692A">
        <w:rPr>
          <w:rFonts w:ascii="Times New Roman" w:hAnsi="Times New Roman" w:cs="Times New Roman"/>
          <w:sz w:val="24"/>
          <w:szCs w:val="24"/>
        </w:rPr>
        <w:t xml:space="preserve"> 9.960, de 28 de janeiro de 2000; no art. 6º inciso XI e art. 77 da Lei Distrital nº 41, de 13 de setembro de 1989; e no art. 279, inciso XVIII da Lei Orgânica do Distrito Federal/1993;</w:t>
      </w:r>
    </w:p>
    <w:p w:rsidR="000D32AB" w:rsidRPr="0048692A" w:rsidRDefault="00015CEE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Considerando q</w:t>
      </w:r>
      <w:r w:rsidR="000D32AB" w:rsidRPr="0048692A">
        <w:rPr>
          <w:rFonts w:ascii="Times New Roman" w:hAnsi="Times New Roman" w:cs="Times New Roman"/>
          <w:sz w:val="24"/>
          <w:szCs w:val="24"/>
        </w:rPr>
        <w:t>ue a autorização é ato administrativo discricionário, precário e não vinculado, sujeito sempre às alterações ditadas pelo interesse público, RESOLVE:</w:t>
      </w:r>
    </w:p>
    <w:p w:rsidR="007665C6" w:rsidRPr="0048692A" w:rsidRDefault="000D32AB" w:rsidP="00714D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1º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Instituir a Autorização Ambiental como instrumento de gestão dos empreendimentos, atividades, pesquisa</w:t>
      </w:r>
      <w:r w:rsidR="00796BE7" w:rsidRPr="0048692A">
        <w:rPr>
          <w:rFonts w:ascii="Times New Roman" w:hAnsi="Times New Roman" w:cs="Times New Roman"/>
          <w:sz w:val="24"/>
          <w:szCs w:val="24"/>
        </w:rPr>
        <w:t>s, serviços e obras de caráter t</w:t>
      </w:r>
      <w:r w:rsidRPr="0048692A">
        <w:rPr>
          <w:rFonts w:ascii="Times New Roman" w:hAnsi="Times New Roman" w:cs="Times New Roman"/>
          <w:sz w:val="24"/>
          <w:szCs w:val="24"/>
        </w:rPr>
        <w:t>emporário que</w:t>
      </w:r>
      <w:r w:rsidR="00282332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necessit</w:t>
      </w:r>
      <w:r w:rsidR="00CD7C98" w:rsidRPr="0048692A">
        <w:rPr>
          <w:rFonts w:ascii="Times New Roman" w:hAnsi="Times New Roman" w:cs="Times New Roman"/>
          <w:sz w:val="24"/>
          <w:szCs w:val="24"/>
        </w:rPr>
        <w:t>a</w:t>
      </w:r>
      <w:r w:rsidRPr="0048692A">
        <w:rPr>
          <w:rFonts w:ascii="Times New Roman" w:hAnsi="Times New Roman" w:cs="Times New Roman"/>
          <w:sz w:val="24"/>
          <w:szCs w:val="24"/>
        </w:rPr>
        <w:t>m de controle pelo órgão ambiental em função da sua natureza, peculiaridades, especificidades ou localização, e estabelece procedimentos para a sua realização no âmbito do Distrito Federal.</w:t>
      </w:r>
    </w:p>
    <w:p w:rsidR="00714D46" w:rsidRPr="0048692A" w:rsidRDefault="00A534CE" w:rsidP="00714D46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</w:t>
      </w:r>
      <w:r w:rsidR="000A09B5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1º</w:t>
      </w:r>
      <w:r w:rsidR="00714D46" w:rsidRPr="0048692A">
        <w:rPr>
          <w:rFonts w:ascii="Times New Roman" w:hAnsi="Times New Roman" w:cs="Times New Roman"/>
          <w:sz w:val="24"/>
          <w:szCs w:val="24"/>
        </w:rPr>
        <w:t>. Ficam sujeitos à autorização ambiental os empreendimentos, atividades, pesquisas, serviços e obras de caráter temporário previstos no Anexo Único, cujo conteúdo é parte integrante desta Resolução.</w:t>
      </w:r>
    </w:p>
    <w:p w:rsidR="00714D46" w:rsidRPr="0048692A" w:rsidRDefault="00A534CE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</w:t>
      </w:r>
      <w:r w:rsidR="000A09B5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2º</w:t>
      </w:r>
      <w:r w:rsidR="00714D46" w:rsidRPr="0048692A">
        <w:rPr>
          <w:rFonts w:ascii="Times New Roman" w:hAnsi="Times New Roman" w:cs="Times New Roman"/>
          <w:sz w:val="24"/>
          <w:szCs w:val="24"/>
        </w:rPr>
        <w:t xml:space="preserve">. Para os empreendimentos, serviços e obras, pesquisas e atividades, não previstos no Anexo Único, mas que se </w:t>
      </w:r>
      <w:proofErr w:type="gramStart"/>
      <w:r w:rsidR="00714D46" w:rsidRPr="0048692A">
        <w:rPr>
          <w:rFonts w:ascii="Times New Roman" w:hAnsi="Times New Roman" w:cs="Times New Roman"/>
          <w:sz w:val="24"/>
          <w:szCs w:val="24"/>
        </w:rPr>
        <w:t>enquadrem</w:t>
      </w:r>
      <w:proofErr w:type="gramEnd"/>
      <w:r w:rsidR="00714D46" w:rsidRPr="0048692A">
        <w:rPr>
          <w:rFonts w:ascii="Times New Roman" w:hAnsi="Times New Roman" w:cs="Times New Roman"/>
          <w:sz w:val="24"/>
          <w:szCs w:val="24"/>
        </w:rPr>
        <w:t xml:space="preserve"> na definição do Art. 1º da presente Resolução, o órgão ambiental poderá solicitar o ato de Autorização Ambiental, mediante Parecer Técnico, que demonstre e justifique o enquadramento do mesmo.</w:t>
      </w:r>
    </w:p>
    <w:p w:rsidR="00BC4C17" w:rsidRPr="0048692A" w:rsidRDefault="00A534CE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</w:t>
      </w:r>
      <w:r w:rsidR="000A09B5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3º</w:t>
      </w:r>
      <w:r w:rsidR="00714D46" w:rsidRPr="0048692A">
        <w:rPr>
          <w:rFonts w:ascii="Times New Roman" w:hAnsi="Times New Roman" w:cs="Times New Roman"/>
          <w:sz w:val="24"/>
          <w:szCs w:val="24"/>
        </w:rPr>
        <w:t>. As Atividades acessórias poderão ser enquadradas no ato de Autorização Ambiental quando o empreendimento/atividade principal estiver regularmente licenciado no órgão ambiental competente.</w:t>
      </w:r>
    </w:p>
    <w:p w:rsidR="00CD7C98" w:rsidRPr="0048692A" w:rsidRDefault="00CD7C98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</w:t>
      </w:r>
      <w:r w:rsidR="000A09B5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4º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O ato de autorização ambiental abrange tanto a etapa de implantação quanto de operação dos empreendimentos, atividades, pesquisas, serviços e obras autorizados.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2º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Para efeito desta Resolução serão adotadas as seguintes definições: </w:t>
      </w:r>
    </w:p>
    <w:p w:rsidR="000D32AB" w:rsidRPr="0048692A" w:rsidRDefault="000D32AB" w:rsidP="00BC4C17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lastRenderedPageBreak/>
        <w:t>I - Rodovia: superfície por onde transitam veículos, pessoas e animais, compreendendo a pista, a calçada, o acostamento, a ilha e o canteiro central. Pode ser pavimentada ou não pavimentada e estar localizada em zona rural ou zona urbana.</w:t>
      </w:r>
    </w:p>
    <w:p w:rsidR="00714D46" w:rsidRPr="0048692A" w:rsidRDefault="00714D46" w:rsidP="00BC4C17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</w:t>
      </w:r>
      <w:r w:rsidR="003241ED" w:rsidRPr="0048692A">
        <w:rPr>
          <w:rFonts w:ascii="Times New Roman" w:hAnsi="Times New Roman" w:cs="Times New Roman"/>
          <w:sz w:val="24"/>
          <w:szCs w:val="24"/>
        </w:rPr>
        <w:t>I</w:t>
      </w:r>
      <w:r w:rsidRPr="0048692A">
        <w:rPr>
          <w:rFonts w:ascii="Times New Roman" w:hAnsi="Times New Roman" w:cs="Times New Roman"/>
          <w:sz w:val="24"/>
          <w:szCs w:val="24"/>
        </w:rPr>
        <w:t xml:space="preserve"> - Atividade acessória: atividade desenvolvida de forma vinculada </w:t>
      </w:r>
      <w:r w:rsidR="004F0BCE" w:rsidRPr="0048692A">
        <w:rPr>
          <w:rFonts w:ascii="Times New Roman" w:hAnsi="Times New Roman" w:cs="Times New Roman"/>
          <w:sz w:val="24"/>
          <w:szCs w:val="24"/>
        </w:rPr>
        <w:t>ao</w:t>
      </w:r>
      <w:r w:rsidR="000A09B5" w:rsidRPr="0048692A">
        <w:rPr>
          <w:rFonts w:ascii="Times New Roman" w:hAnsi="Times New Roman" w:cs="Times New Roman"/>
          <w:sz w:val="24"/>
          <w:szCs w:val="24"/>
        </w:rPr>
        <w:t xml:space="preserve"> empreendimento/</w:t>
      </w:r>
      <w:r w:rsidRPr="0048692A">
        <w:rPr>
          <w:rFonts w:ascii="Times New Roman" w:hAnsi="Times New Roman" w:cs="Times New Roman"/>
          <w:sz w:val="24"/>
          <w:szCs w:val="24"/>
        </w:rPr>
        <w:t>atividade principal.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3º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A autorização ambiental para os empreendimentos, atividades, pesquisas, serviços e obras listados no Anexo Único desta Resolução dependerá de prévia avaliação, por meio de documentos, estudos e projetos definidos pelo órgão ambiental competente, quando couber.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3241ED" w:rsidRPr="0048692A">
        <w:rPr>
          <w:rFonts w:ascii="Times New Roman" w:hAnsi="Times New Roman" w:cs="Times New Roman"/>
          <w:sz w:val="24"/>
          <w:szCs w:val="24"/>
        </w:rPr>
        <w:t>4</w:t>
      </w:r>
      <w:r w:rsidR="00E61394" w:rsidRPr="0048692A">
        <w:rPr>
          <w:rFonts w:ascii="Times New Roman" w:hAnsi="Times New Roman" w:cs="Times New Roman"/>
          <w:sz w:val="24"/>
          <w:szCs w:val="24"/>
        </w:rPr>
        <w:t>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O procedimento para a autorização ambiental deverá observar as regras desta Resolução, sem prejuízo do disposto nas demais normas federais e distritais vigentes.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3241ED" w:rsidRPr="0048692A">
        <w:rPr>
          <w:rFonts w:ascii="Times New Roman" w:hAnsi="Times New Roman" w:cs="Times New Roman"/>
          <w:sz w:val="24"/>
          <w:szCs w:val="24"/>
        </w:rPr>
        <w:t>5</w:t>
      </w:r>
      <w:r w:rsidR="00E61394" w:rsidRPr="0048692A">
        <w:rPr>
          <w:rFonts w:ascii="Times New Roman" w:hAnsi="Times New Roman" w:cs="Times New Roman"/>
          <w:sz w:val="24"/>
          <w:szCs w:val="24"/>
        </w:rPr>
        <w:t>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O órgão ambiental competente estabelecerá o prazo de validade de cada autorização ambiental, especificando-os no respectivo documento, levando em consideração a temporariedade, natureza, características e peculiaridades do empreendimento, atividade, pesquisa, serviço ou obra.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 1º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O prazo de validade da autorização ambiental, deverá ser, no mínimo, o estabelecido pelo cronograma de elaboração dos planos, programas e projetos relativos ao empreendimento, atividade, pesquisa, serviço ou obra, não podendo ser superior a </w:t>
      </w:r>
      <w:proofErr w:type="gramStart"/>
      <w:r w:rsidRPr="0048692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8692A">
        <w:rPr>
          <w:rFonts w:ascii="Times New Roman" w:hAnsi="Times New Roman" w:cs="Times New Roman"/>
          <w:sz w:val="24"/>
          <w:szCs w:val="24"/>
        </w:rPr>
        <w:t xml:space="preserve"> (três) anos.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 2º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Caso o empreendimento, atividade, pesquisa, serviço ou obra de caráter temporário exceda o prazo estabelecido no parágrafo anterior, deverá ser requerida nova autorização ambiental.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3241ED" w:rsidRPr="0048692A">
        <w:rPr>
          <w:rFonts w:ascii="Times New Roman" w:hAnsi="Times New Roman" w:cs="Times New Roman"/>
          <w:sz w:val="24"/>
          <w:szCs w:val="24"/>
        </w:rPr>
        <w:t>6</w:t>
      </w:r>
      <w:r w:rsidR="00E61394" w:rsidRPr="0048692A">
        <w:rPr>
          <w:rFonts w:ascii="Times New Roman" w:hAnsi="Times New Roman" w:cs="Times New Roman"/>
          <w:sz w:val="24"/>
          <w:szCs w:val="24"/>
        </w:rPr>
        <w:t>º</w:t>
      </w:r>
      <w:r w:rsidR="000A09B5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 xml:space="preserve">O procedimento de autorização ambiental obedecerá às seguintes etapas: 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I. Requerimento de autorização ambiental, devidamente preenchido pelo empreendedor</w:t>
      </w:r>
      <w:r w:rsidR="00E61394" w:rsidRPr="0048692A">
        <w:rPr>
          <w:rFonts w:ascii="Times New Roman" w:hAnsi="Times New Roman" w:cs="Times New Roman"/>
          <w:sz w:val="24"/>
          <w:szCs w:val="24"/>
        </w:rPr>
        <w:t>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II Cópia de documento de identidade e Cadastro de Pessoa Física (CPF) do representante legal que assinar o requerimento;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III. Cópia do Cadastro Nacional de Pessoa Jurídica (CNPJ);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IV. Cópia da Ata de Eleição da última diretoria, quando se tratar de Sociedade ou de Contrato Social registrado, quando se tratar de Sociedade de Quotas de Responsabilidade Limitada e última alteração contratual (atos constitutivos da empresa) no caso de pessoa jurídica;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V. Comprovante de propriedade, posse ou ocupação a qualquer título da área.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VI. Projeto Básico e Memorial Descritivo da atividade;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lastRenderedPageBreak/>
        <w:t>VII. Planta com a localização e delimitação da área do empreendimento, atividade, obra ou serviço.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VIII. Definição pelo órgão ambiental competente dos documentos e projetos complementares, quando couber;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IX. Análise pelo ó</w:t>
      </w:r>
      <w:r w:rsidR="000A09B5" w:rsidRPr="0048692A">
        <w:rPr>
          <w:rFonts w:ascii="Times New Roman" w:hAnsi="Times New Roman" w:cs="Times New Roman"/>
          <w:sz w:val="24"/>
          <w:szCs w:val="24"/>
        </w:rPr>
        <w:t>rgão ambiental competente dos</w:t>
      </w:r>
      <w:proofErr w:type="gramStart"/>
      <w:r w:rsidR="000A09B5" w:rsidRPr="004869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A09B5" w:rsidRPr="0048692A">
        <w:rPr>
          <w:rFonts w:ascii="Times New Roman" w:hAnsi="Times New Roman" w:cs="Times New Roman"/>
          <w:sz w:val="24"/>
          <w:szCs w:val="24"/>
        </w:rPr>
        <w:t xml:space="preserve">documentos,  </w:t>
      </w:r>
      <w:r w:rsidRPr="0048692A">
        <w:rPr>
          <w:rFonts w:ascii="Times New Roman" w:hAnsi="Times New Roman" w:cs="Times New Roman"/>
          <w:sz w:val="24"/>
          <w:szCs w:val="24"/>
        </w:rPr>
        <w:t>projetos  e   es</w:t>
      </w:r>
      <w:r w:rsidR="000A09B5" w:rsidRPr="0048692A">
        <w:rPr>
          <w:rFonts w:ascii="Times New Roman" w:hAnsi="Times New Roman" w:cs="Times New Roman"/>
          <w:sz w:val="24"/>
          <w:szCs w:val="24"/>
        </w:rPr>
        <w:t>tudos ambientais   apresentados</w:t>
      </w:r>
      <w:r w:rsidRPr="0048692A">
        <w:rPr>
          <w:rFonts w:ascii="Times New Roman" w:hAnsi="Times New Roman" w:cs="Times New Roman"/>
          <w:sz w:val="24"/>
          <w:szCs w:val="24"/>
        </w:rPr>
        <w:t>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X. Vistoria técnica</w:t>
      </w:r>
      <w:r w:rsidR="000A09B5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="003241ED" w:rsidRPr="0048692A">
        <w:rPr>
          <w:rFonts w:ascii="Times New Roman" w:hAnsi="Times New Roman" w:cs="Times New Roman"/>
          <w:sz w:val="24"/>
          <w:szCs w:val="24"/>
        </w:rPr>
        <w:t>se for o caso</w:t>
      </w:r>
      <w:r w:rsidRPr="0048692A">
        <w:rPr>
          <w:rFonts w:ascii="Times New Roman" w:hAnsi="Times New Roman" w:cs="Times New Roman"/>
          <w:sz w:val="24"/>
          <w:szCs w:val="24"/>
        </w:rPr>
        <w:t>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XI. Solicitação de esclarecimentos e complementações, uma única vez, pelo órgão ambiental competente, em decorrência da análise dos documentos, projetos e estudos apresentados, quando couber, podendo haver a reiteração dessa solicitação caso os esclarecimentos e complementações não tenham sido satisfatórios;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XII. Emissão de Parecer Técnico conclusivo e, quando couber, parecer Jurídico.</w:t>
      </w:r>
    </w:p>
    <w:p w:rsidR="00D55FE9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Parágrafo Único - Nos casos em que houver simplificação de procedimentos por meio de legislação federal específica, esta deverá ser adotada.</w:t>
      </w:r>
    </w:p>
    <w:p w:rsidR="003241ED" w:rsidRPr="0048692A" w:rsidRDefault="003241ED" w:rsidP="003241E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7º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A Autorização Ambiental para as atividades acessórias </w:t>
      </w:r>
      <w:r w:rsidR="00390E98" w:rsidRPr="0048692A">
        <w:rPr>
          <w:rFonts w:ascii="Times New Roman" w:hAnsi="Times New Roman" w:cs="Times New Roman"/>
          <w:sz w:val="24"/>
          <w:szCs w:val="24"/>
        </w:rPr>
        <w:t xml:space="preserve">ou complementação da atividade principal </w:t>
      </w:r>
      <w:r w:rsidRPr="0048692A">
        <w:rPr>
          <w:rFonts w:ascii="Times New Roman" w:hAnsi="Times New Roman" w:cs="Times New Roman"/>
          <w:sz w:val="24"/>
          <w:szCs w:val="24"/>
        </w:rPr>
        <w:t>poderá ser requerida pelo empreendedor da atividade principal ou pelo empreendedor da atividade acessória, devendo ser apresentado os seguintes documentos, para sua caracterização:</w:t>
      </w:r>
    </w:p>
    <w:p w:rsidR="003241ED" w:rsidRPr="0048692A" w:rsidRDefault="003241ED" w:rsidP="003241E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 – cópia da Licença a que se vincula;</w:t>
      </w:r>
    </w:p>
    <w:p w:rsidR="003241ED" w:rsidRPr="0048692A" w:rsidRDefault="003241ED" w:rsidP="003241E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II – apresentação de documento declarando o uso exclusivo para a atividade licenciada vinculada;</w:t>
      </w:r>
    </w:p>
    <w:p w:rsidR="003241ED" w:rsidRPr="0048692A" w:rsidRDefault="003241ED" w:rsidP="003241E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Paragrafo único: caso em que o requerimento da autorização ambiental seja feito pelo empreendedor da atividade acessória, deverá o órgão ambiental dar conhecimento ao empreendedor da atividade principal do conteúdo da autorização emitida.</w:t>
      </w:r>
    </w:p>
    <w:p w:rsidR="00390E98" w:rsidRPr="0048692A" w:rsidRDefault="00390E98" w:rsidP="00390E9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8º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A Autorização Ambiental autorizará de uma única vez a supressão de vegetação, instalação e operação da atividade, a execução de medidas mitigadoras e programas vinculados, quando for o caso.</w:t>
      </w:r>
    </w:p>
    <w:p w:rsidR="00390E98" w:rsidRPr="0048692A" w:rsidRDefault="00390E98" w:rsidP="00390E9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9º. Por serem consideradas atividades de pequeno potencial de impacto ambiental, as atividades objeto de Autorização Ambiental não são passíveis de compensação ambiental e não necessitam executar programa de educação ambiental.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390E98" w:rsidRPr="0048692A">
        <w:rPr>
          <w:rFonts w:ascii="Times New Roman" w:hAnsi="Times New Roman" w:cs="Times New Roman"/>
          <w:sz w:val="24"/>
          <w:szCs w:val="24"/>
        </w:rPr>
        <w:t>10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O órgão ambiental competente terá um prazo de 180 (cento e oitenta) dias para análise e deferimento ou indeferimento da autorização ambiental, a contar da data do protocolo do requerimento.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Parágrafo único - </w:t>
      </w:r>
      <w:r w:rsidR="00654754" w:rsidRPr="0048692A">
        <w:rPr>
          <w:rFonts w:ascii="Times New Roman" w:hAnsi="Times New Roman" w:cs="Times New Roman"/>
          <w:sz w:val="24"/>
          <w:szCs w:val="24"/>
        </w:rPr>
        <w:t xml:space="preserve">A </w:t>
      </w:r>
      <w:r w:rsidRPr="0048692A">
        <w:rPr>
          <w:rFonts w:ascii="Times New Roman" w:hAnsi="Times New Roman" w:cs="Times New Roman"/>
          <w:sz w:val="24"/>
          <w:szCs w:val="24"/>
        </w:rPr>
        <w:t>contagem do prazo previsto no caput deste artigo será suspensa durante a elaboração dos estudos ambientais complementares ou apresentação de esclarecimentos do empreendedor.</w:t>
      </w:r>
    </w:p>
    <w:p w:rsidR="00EE6AEE" w:rsidRPr="0048692A" w:rsidRDefault="00EE6AEE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</w:t>
      </w:r>
      <w:r w:rsidR="00390E98" w:rsidRPr="0048692A">
        <w:rPr>
          <w:rFonts w:ascii="Times New Roman" w:hAnsi="Times New Roman" w:cs="Times New Roman"/>
          <w:sz w:val="24"/>
          <w:szCs w:val="24"/>
        </w:rPr>
        <w:t>11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="00654754" w:rsidRPr="0048692A">
        <w:rPr>
          <w:rFonts w:ascii="Times New Roman" w:hAnsi="Times New Roman" w:cs="Times New Roman"/>
          <w:sz w:val="24"/>
          <w:szCs w:val="24"/>
        </w:rPr>
        <w:t>A</w:t>
      </w:r>
      <w:r w:rsidRPr="0048692A">
        <w:rPr>
          <w:rFonts w:ascii="Times New Roman" w:hAnsi="Times New Roman" w:cs="Times New Roman"/>
          <w:sz w:val="24"/>
          <w:szCs w:val="24"/>
        </w:rPr>
        <w:t xml:space="preserve"> expedição da Autorização </w:t>
      </w:r>
      <w:r w:rsidR="007665C6" w:rsidRPr="0048692A">
        <w:rPr>
          <w:rFonts w:ascii="Times New Roman" w:hAnsi="Times New Roman" w:cs="Times New Roman"/>
          <w:sz w:val="24"/>
          <w:szCs w:val="24"/>
        </w:rPr>
        <w:t>A</w:t>
      </w:r>
      <w:r w:rsidRPr="0048692A">
        <w:rPr>
          <w:rFonts w:ascii="Times New Roman" w:hAnsi="Times New Roman" w:cs="Times New Roman"/>
          <w:sz w:val="24"/>
          <w:szCs w:val="24"/>
        </w:rPr>
        <w:t>mbiental será publicada no site do IBRAM, por meio do Boletim de serviços, para a devida publicidade.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E61394" w:rsidRPr="0048692A">
        <w:rPr>
          <w:rFonts w:ascii="Times New Roman" w:hAnsi="Times New Roman" w:cs="Times New Roman"/>
          <w:sz w:val="24"/>
          <w:szCs w:val="24"/>
        </w:rPr>
        <w:t>1</w:t>
      </w:r>
      <w:r w:rsidR="00390E98" w:rsidRPr="0048692A">
        <w:rPr>
          <w:rFonts w:ascii="Times New Roman" w:hAnsi="Times New Roman" w:cs="Times New Roman"/>
          <w:sz w:val="24"/>
          <w:szCs w:val="24"/>
        </w:rPr>
        <w:t>2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O empreendedor deverá atender à solicitação de esclarecimentos e complementações, formuladas pelo órgão ambiental competente, dentro do prazo máximo de 30 (trinta) dias, a contar da data de recebimento da respectiva solicitação.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§ 1º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O prazo estipulado no caput deste artigo poderá ser prorrogado, em caso de aprovação expressa pelo órgão ambiental competente, de ofício motivado emitido pelo empreendedor, o qual deverá ser anexado, obrigatoriamente, ao processo administrativo correspondente.</w:t>
      </w:r>
    </w:p>
    <w:p w:rsidR="000D32AB" w:rsidRPr="0048692A" w:rsidRDefault="007F60A3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§ </w:t>
      </w:r>
      <w:r w:rsidR="000D32AB" w:rsidRPr="0048692A">
        <w:rPr>
          <w:rFonts w:ascii="Times New Roman" w:hAnsi="Times New Roman" w:cs="Times New Roman"/>
          <w:sz w:val="24"/>
          <w:szCs w:val="24"/>
        </w:rPr>
        <w:t>2º</w:t>
      </w:r>
      <w:r w:rsidRPr="0048692A">
        <w:rPr>
          <w:rFonts w:ascii="Times New Roman" w:hAnsi="Times New Roman" w:cs="Times New Roman"/>
          <w:sz w:val="24"/>
          <w:szCs w:val="24"/>
        </w:rPr>
        <w:t>.</w:t>
      </w:r>
      <w:r w:rsidR="000D32AB" w:rsidRPr="0048692A">
        <w:rPr>
          <w:rFonts w:ascii="Times New Roman" w:hAnsi="Times New Roman" w:cs="Times New Roman"/>
          <w:sz w:val="24"/>
          <w:szCs w:val="24"/>
        </w:rPr>
        <w:t xml:space="preserve">  O não cumprimento do prazo estipulado no caput deste artigo, implicará</w:t>
      </w:r>
      <w:proofErr w:type="gramStart"/>
      <w:r w:rsidR="000D32AB" w:rsidRPr="004869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5549" w:rsidRPr="0048692A">
        <w:rPr>
          <w:rFonts w:ascii="Times New Roman" w:hAnsi="Times New Roman" w:cs="Times New Roman"/>
          <w:sz w:val="24"/>
          <w:szCs w:val="24"/>
        </w:rPr>
        <w:t>n</w:t>
      </w:r>
      <w:r w:rsidR="000D32AB" w:rsidRPr="0048692A">
        <w:rPr>
          <w:rFonts w:ascii="Times New Roman" w:hAnsi="Times New Roman" w:cs="Times New Roman"/>
          <w:sz w:val="24"/>
          <w:szCs w:val="24"/>
        </w:rPr>
        <w:t>o arquivamento  do processo.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E61394" w:rsidRPr="0048692A">
        <w:rPr>
          <w:rFonts w:ascii="Times New Roman" w:hAnsi="Times New Roman" w:cs="Times New Roman"/>
          <w:sz w:val="24"/>
          <w:szCs w:val="24"/>
        </w:rPr>
        <w:t>1</w:t>
      </w:r>
      <w:r w:rsidR="00390E98" w:rsidRPr="0048692A">
        <w:rPr>
          <w:rFonts w:ascii="Times New Roman" w:hAnsi="Times New Roman" w:cs="Times New Roman"/>
          <w:sz w:val="24"/>
          <w:szCs w:val="24"/>
        </w:rPr>
        <w:t>3</w:t>
      </w:r>
      <w:r w:rsidR="0002248D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O arquivamento do processo de autorização ambiental não impedirá a apresentação de novo requerimento, que deverá obedecer aos procedimentos, restrições e condicionantes estabelecidas para tal fim.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E61394" w:rsidRPr="0048692A">
        <w:rPr>
          <w:rFonts w:ascii="Times New Roman" w:hAnsi="Times New Roman" w:cs="Times New Roman"/>
          <w:sz w:val="24"/>
          <w:szCs w:val="24"/>
        </w:rPr>
        <w:t>1</w:t>
      </w:r>
      <w:r w:rsidR="00390E98" w:rsidRPr="0048692A">
        <w:rPr>
          <w:rFonts w:ascii="Times New Roman" w:hAnsi="Times New Roman" w:cs="Times New Roman"/>
          <w:sz w:val="24"/>
          <w:szCs w:val="24"/>
        </w:rPr>
        <w:t>4</w:t>
      </w:r>
      <w:r w:rsidR="0002248D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 xml:space="preserve">Os </w:t>
      </w:r>
      <w:r w:rsidR="003241ED" w:rsidRPr="0048692A">
        <w:rPr>
          <w:rFonts w:ascii="Times New Roman" w:hAnsi="Times New Roman" w:cs="Times New Roman"/>
          <w:sz w:val="24"/>
          <w:szCs w:val="24"/>
        </w:rPr>
        <w:t>documentos técnicos</w:t>
      </w:r>
      <w:r w:rsidRPr="0048692A">
        <w:rPr>
          <w:rFonts w:ascii="Times New Roman" w:hAnsi="Times New Roman" w:cs="Times New Roman"/>
          <w:sz w:val="24"/>
          <w:szCs w:val="24"/>
        </w:rPr>
        <w:t xml:space="preserve"> necessários ao processo de autorização ambiental deverão ser realizados por profissionais legalmente habilitados, a expensas do empreendedor e apresentados acompanhados das respectivas anotações de responsabilidade técnica (ART).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Parágrafo único. O empreendedor e os profissionais que subscrevem os estudos previstos no caput deste artigo serão responsáveis pelas informações apresentadas, sujeitando-se às sanções administrativas, civis e penais.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 xml:space="preserve">Art. </w:t>
      </w:r>
      <w:r w:rsidR="00E61394" w:rsidRPr="0048692A">
        <w:rPr>
          <w:rFonts w:ascii="Times New Roman" w:hAnsi="Times New Roman" w:cs="Times New Roman"/>
          <w:sz w:val="24"/>
          <w:szCs w:val="24"/>
        </w:rPr>
        <w:t>1</w:t>
      </w:r>
      <w:r w:rsidR="00390E98" w:rsidRPr="0048692A">
        <w:rPr>
          <w:rFonts w:ascii="Times New Roman" w:hAnsi="Times New Roman" w:cs="Times New Roman"/>
          <w:sz w:val="24"/>
          <w:szCs w:val="24"/>
        </w:rPr>
        <w:t>5</w:t>
      </w:r>
      <w:r w:rsidR="0002248D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Pr="0048692A">
        <w:rPr>
          <w:rFonts w:ascii="Times New Roman" w:hAnsi="Times New Roman" w:cs="Times New Roman"/>
          <w:sz w:val="24"/>
          <w:szCs w:val="24"/>
        </w:rPr>
        <w:t>O órgão ambiental competente, mediante decisão motivada, poderá modificar as condicionantes e as medidas de controle e adequação, suspender ou cancelar uma autorização ambiental, quando ocorrer: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 - violação, inobservância ou inadequação de quaisquer condicionantes ou normas legais ou exigências constantes da autorização ou no respectivo processo;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II - omissão ou falsa descrição de informações relevantes que subsidiaram a concessão da autorização;</w:t>
      </w:r>
    </w:p>
    <w:p w:rsidR="000D32AB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III - superveniência de graves riscos ambientais e de saúde.</w:t>
      </w:r>
    </w:p>
    <w:p w:rsidR="006C3877" w:rsidRPr="0048692A" w:rsidRDefault="000D32AB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E61394" w:rsidRPr="0048692A">
        <w:rPr>
          <w:rFonts w:ascii="Times New Roman" w:hAnsi="Times New Roman" w:cs="Times New Roman"/>
          <w:sz w:val="24"/>
          <w:szCs w:val="24"/>
        </w:rPr>
        <w:t>1</w:t>
      </w:r>
      <w:r w:rsidR="00390E98" w:rsidRPr="0048692A">
        <w:rPr>
          <w:rFonts w:ascii="Times New Roman" w:hAnsi="Times New Roman" w:cs="Times New Roman"/>
          <w:sz w:val="24"/>
          <w:szCs w:val="24"/>
        </w:rPr>
        <w:t>6</w:t>
      </w:r>
      <w:r w:rsidR="00A534CE" w:rsidRPr="0048692A">
        <w:rPr>
          <w:rFonts w:ascii="Times New Roman" w:hAnsi="Times New Roman" w:cs="Times New Roman"/>
          <w:sz w:val="24"/>
          <w:szCs w:val="24"/>
        </w:rPr>
        <w:t>.</w:t>
      </w:r>
      <w:r w:rsidR="00E61394" w:rsidRPr="0048692A">
        <w:rPr>
          <w:rFonts w:ascii="Times New Roman" w:hAnsi="Times New Roman" w:cs="Times New Roman"/>
          <w:sz w:val="24"/>
          <w:szCs w:val="24"/>
        </w:rPr>
        <w:t xml:space="preserve"> </w:t>
      </w:r>
      <w:r w:rsidR="0002248D" w:rsidRPr="0048692A">
        <w:rPr>
          <w:rFonts w:ascii="Times New Roman" w:hAnsi="Times New Roman" w:cs="Times New Roman"/>
          <w:sz w:val="24"/>
          <w:szCs w:val="24"/>
        </w:rPr>
        <w:t>Est</w:t>
      </w:r>
      <w:r w:rsidR="007F60A3" w:rsidRPr="0048692A">
        <w:rPr>
          <w:rFonts w:ascii="Times New Roman" w:hAnsi="Times New Roman" w:cs="Times New Roman"/>
          <w:sz w:val="24"/>
          <w:szCs w:val="24"/>
        </w:rPr>
        <w:t>a R</w:t>
      </w:r>
      <w:r w:rsidR="00C66EF7" w:rsidRPr="0048692A">
        <w:rPr>
          <w:rFonts w:ascii="Times New Roman" w:hAnsi="Times New Roman" w:cs="Times New Roman"/>
          <w:sz w:val="24"/>
          <w:szCs w:val="24"/>
        </w:rPr>
        <w:t>esolução passará por revisão no prazo de até dois anos</w:t>
      </w:r>
      <w:r w:rsidR="007F60A3" w:rsidRPr="00486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48D" w:rsidRPr="0048692A" w:rsidRDefault="0002248D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1</w:t>
      </w:r>
      <w:r w:rsidR="00390E98" w:rsidRPr="0048692A">
        <w:rPr>
          <w:rFonts w:ascii="Times New Roman" w:hAnsi="Times New Roman" w:cs="Times New Roman"/>
          <w:sz w:val="24"/>
          <w:szCs w:val="24"/>
        </w:rPr>
        <w:t>7</w:t>
      </w:r>
      <w:r w:rsidR="007F60A3" w:rsidRPr="0048692A">
        <w:rPr>
          <w:rFonts w:ascii="Times New Roman" w:hAnsi="Times New Roman" w:cs="Times New Roman"/>
          <w:sz w:val="24"/>
          <w:szCs w:val="24"/>
        </w:rPr>
        <w:t>.</w:t>
      </w:r>
      <w:r w:rsidRPr="0048692A">
        <w:rPr>
          <w:rFonts w:ascii="Times New Roman" w:hAnsi="Times New Roman" w:cs="Times New Roman"/>
          <w:sz w:val="24"/>
          <w:szCs w:val="24"/>
        </w:rPr>
        <w:t xml:space="preserve"> Esta resolução revoga a resolução CONAM n° </w:t>
      </w:r>
      <w:r w:rsidR="007F60A3" w:rsidRPr="0048692A">
        <w:rPr>
          <w:rFonts w:ascii="Times New Roman" w:hAnsi="Times New Roman" w:cs="Times New Roman"/>
          <w:sz w:val="24"/>
          <w:szCs w:val="24"/>
        </w:rPr>
        <w:t>0</w:t>
      </w:r>
      <w:r w:rsidRPr="0048692A">
        <w:rPr>
          <w:rFonts w:ascii="Times New Roman" w:hAnsi="Times New Roman" w:cs="Times New Roman"/>
          <w:sz w:val="24"/>
          <w:szCs w:val="24"/>
        </w:rPr>
        <w:t xml:space="preserve">1 de </w:t>
      </w:r>
      <w:r w:rsidR="007F60A3" w:rsidRPr="0048692A">
        <w:rPr>
          <w:rFonts w:ascii="Times New Roman" w:hAnsi="Times New Roman" w:cs="Times New Roman"/>
          <w:sz w:val="24"/>
          <w:szCs w:val="24"/>
        </w:rPr>
        <w:t xml:space="preserve">22 de julho de </w:t>
      </w:r>
      <w:r w:rsidRPr="0048692A">
        <w:rPr>
          <w:rFonts w:ascii="Times New Roman" w:hAnsi="Times New Roman" w:cs="Times New Roman"/>
          <w:sz w:val="24"/>
          <w:szCs w:val="24"/>
        </w:rPr>
        <w:t>2014.</w:t>
      </w:r>
    </w:p>
    <w:p w:rsidR="000D32AB" w:rsidRPr="0048692A" w:rsidRDefault="0002248D" w:rsidP="000D32A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Art. 1</w:t>
      </w:r>
      <w:r w:rsidR="00390E98" w:rsidRPr="0048692A">
        <w:rPr>
          <w:rFonts w:ascii="Times New Roman" w:hAnsi="Times New Roman" w:cs="Times New Roman"/>
          <w:sz w:val="24"/>
          <w:szCs w:val="24"/>
        </w:rPr>
        <w:t>8</w:t>
      </w:r>
      <w:r w:rsidRPr="0048692A">
        <w:rPr>
          <w:rFonts w:ascii="Times New Roman" w:hAnsi="Times New Roman" w:cs="Times New Roman"/>
          <w:sz w:val="24"/>
          <w:szCs w:val="24"/>
        </w:rPr>
        <w:t xml:space="preserve">. </w:t>
      </w:r>
      <w:r w:rsidR="000D32AB" w:rsidRPr="0048692A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7F60A3" w:rsidRPr="0048692A" w:rsidRDefault="007F60A3" w:rsidP="007F60A3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796BE7" w:rsidRPr="0048692A" w:rsidRDefault="00796BE7" w:rsidP="00796BE7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IGOR TOKARSKI</w:t>
      </w:r>
    </w:p>
    <w:p w:rsidR="0002248D" w:rsidRDefault="00796BE7" w:rsidP="00796BE7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Presidente do Conselho de Meio Ambiente do Distrito Federal</w:t>
      </w:r>
    </w:p>
    <w:p w:rsidR="0048692A" w:rsidRPr="0048692A" w:rsidRDefault="0048692A" w:rsidP="00796BE7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F83E12">
        <w:rPr>
          <w:rFonts w:ascii="Times New Roman" w:hAnsi="Times New Roman" w:cs="Times New Roman"/>
          <w:sz w:val="24"/>
          <w:szCs w:val="24"/>
        </w:rPr>
        <w:t xml:space="preserve">(*) Republicado por ter saído com erro publicado no DODF </w:t>
      </w:r>
      <w:r>
        <w:rPr>
          <w:rFonts w:ascii="Times New Roman" w:hAnsi="Times New Roman" w:cs="Times New Roman"/>
          <w:sz w:val="24"/>
          <w:szCs w:val="24"/>
        </w:rPr>
        <w:t>247, de 28 de dezembro de 2017</w:t>
      </w:r>
      <w:r w:rsidRPr="00F83E12">
        <w:rPr>
          <w:rFonts w:ascii="Times New Roman" w:hAnsi="Times New Roman" w:cs="Times New Roman"/>
          <w:sz w:val="24"/>
          <w:szCs w:val="24"/>
        </w:rPr>
        <w:t>, pag.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83E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F83E12">
        <w:rPr>
          <w:rFonts w:ascii="Times New Roman" w:hAnsi="Times New Roman" w:cs="Times New Roman"/>
          <w:sz w:val="24"/>
          <w:szCs w:val="24"/>
        </w:rPr>
        <w:t>.</w:t>
      </w:r>
    </w:p>
    <w:p w:rsidR="00796BE7" w:rsidRPr="0048692A" w:rsidRDefault="00796BE7" w:rsidP="00796BE7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02248D" w:rsidRPr="0048692A" w:rsidRDefault="007F60A3" w:rsidP="0002248D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48692A">
        <w:rPr>
          <w:rFonts w:ascii="Times New Roman" w:hAnsi="Times New Roman" w:cs="Times New Roman"/>
          <w:sz w:val="24"/>
          <w:szCs w:val="24"/>
        </w:rPr>
        <w:t>Anexo Ú</w:t>
      </w:r>
      <w:r w:rsidR="0002248D" w:rsidRPr="0048692A">
        <w:rPr>
          <w:rFonts w:ascii="Times New Roman" w:hAnsi="Times New Roman" w:cs="Times New Roman"/>
          <w:sz w:val="24"/>
          <w:szCs w:val="24"/>
        </w:rPr>
        <w:t>nico – Atividades passíveis de obtenção de Autorização Ambiental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128"/>
        <w:gridCol w:w="4393"/>
        <w:gridCol w:w="1666"/>
      </w:tblGrid>
      <w:tr w:rsidR="000D671F" w:rsidRPr="0048692A" w:rsidTr="0065702A">
        <w:trPr>
          <w:trHeight w:val="300"/>
          <w:jc w:val="center"/>
        </w:trPr>
        <w:tc>
          <w:tcPr>
            <w:tcW w:w="306" w:type="pct"/>
            <w:vAlign w:val="center"/>
            <w:hideMark/>
          </w:tcPr>
          <w:p w:rsidR="000D671F" w:rsidRPr="0048692A" w:rsidRDefault="006C3877" w:rsidP="007F6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</w:t>
            </w:r>
            <w:r w:rsidR="000D671F" w:rsidRPr="0048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1220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2519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Descrição da atividade</w:t>
            </w:r>
          </w:p>
        </w:tc>
        <w:tc>
          <w:tcPr>
            <w:tcW w:w="955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Porte</w:t>
            </w:r>
          </w:p>
        </w:tc>
      </w:tr>
      <w:tr w:rsidR="000D671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ARMAZENAMENTO DE COMBUSTÍVEL</w:t>
            </w:r>
          </w:p>
        </w:tc>
        <w:tc>
          <w:tcPr>
            <w:tcW w:w="2519" w:type="pct"/>
            <w:vAlign w:val="center"/>
            <w:hideMark/>
          </w:tcPr>
          <w:p w:rsidR="000D671F" w:rsidRPr="0048692A" w:rsidRDefault="000D671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Encerramento das atividades de ponto de abastecimento, posto revendedor de combustível e posto flutuante, que resulte na total remoção dos equipamentos (incluindo a remoção de tanques) e a utilização do imóvel para outras finalidades que não se enquadre de ponto de abastecimento, posto revendedor de combustível e posto flutuante.</w:t>
            </w:r>
          </w:p>
        </w:tc>
        <w:tc>
          <w:tcPr>
            <w:tcW w:w="955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0D671F" w:rsidRPr="0048692A" w:rsidTr="0065702A">
        <w:trPr>
          <w:trHeight w:val="510"/>
          <w:jc w:val="center"/>
        </w:trPr>
        <w:tc>
          <w:tcPr>
            <w:tcW w:w="306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ARMAZENAMENTO DE COMBUSTÍVEL</w:t>
            </w:r>
          </w:p>
        </w:tc>
        <w:tc>
          <w:tcPr>
            <w:tcW w:w="2519" w:type="pct"/>
            <w:vAlign w:val="center"/>
            <w:hideMark/>
          </w:tcPr>
          <w:p w:rsidR="000D671F" w:rsidRPr="0048692A" w:rsidRDefault="000D671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Paralização das atividades de ponto de abastecimento, posto revendedor de combustível e posto flutuante, com prazo superior a 90 (noventa) dias.</w:t>
            </w:r>
          </w:p>
        </w:tc>
        <w:tc>
          <w:tcPr>
            <w:tcW w:w="955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0D671F" w:rsidRPr="0048692A" w:rsidTr="0065702A">
        <w:trPr>
          <w:trHeight w:val="300"/>
          <w:jc w:val="center"/>
        </w:trPr>
        <w:tc>
          <w:tcPr>
            <w:tcW w:w="306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INFRAESTRUTURA</w:t>
            </w:r>
          </w:p>
        </w:tc>
        <w:tc>
          <w:tcPr>
            <w:tcW w:w="2519" w:type="pct"/>
            <w:vAlign w:val="center"/>
            <w:hideMark/>
          </w:tcPr>
          <w:p w:rsidR="000D671F" w:rsidRPr="0048692A" w:rsidRDefault="000D671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de equipamentos públicos em áreas em processo de regularização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Todos</w:t>
            </w:r>
          </w:p>
        </w:tc>
      </w:tr>
      <w:tr w:rsidR="000D671F" w:rsidRPr="0048692A" w:rsidTr="0065702A">
        <w:trPr>
          <w:trHeight w:val="510"/>
          <w:jc w:val="center"/>
        </w:trPr>
        <w:tc>
          <w:tcPr>
            <w:tcW w:w="306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INFRAESTRUTURA</w:t>
            </w:r>
          </w:p>
        </w:tc>
        <w:tc>
          <w:tcPr>
            <w:tcW w:w="2519" w:type="pct"/>
            <w:vAlign w:val="center"/>
            <w:hideMark/>
          </w:tcPr>
          <w:p w:rsidR="000D671F" w:rsidRPr="0048692A" w:rsidRDefault="000D671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Nivelamento utilizando resíduo de asfalto retirado de vias para recuperação e manutenção de vias não pavimentadas consolidadas.</w:t>
            </w:r>
          </w:p>
        </w:tc>
        <w:tc>
          <w:tcPr>
            <w:tcW w:w="955" w:type="pct"/>
            <w:vAlign w:val="center"/>
            <w:hideMark/>
          </w:tcPr>
          <w:p w:rsidR="000D671F" w:rsidRPr="0048692A" w:rsidRDefault="000D671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510"/>
          <w:jc w:val="center"/>
        </w:trPr>
        <w:tc>
          <w:tcPr>
            <w:tcW w:w="306" w:type="pct"/>
            <w:vAlign w:val="center"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220" w:type="pct"/>
            <w:vAlign w:val="center"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 DE UTILIDADE PÚBLICA – CRIAÇÃO DE LOTE PARA EQUIPAMENTO PÚBLICO</w:t>
            </w:r>
          </w:p>
        </w:tc>
        <w:tc>
          <w:tcPr>
            <w:tcW w:w="2519" w:type="pct"/>
            <w:vAlign w:val="center"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Criação de lote para equipamento público com sistema viário de acesso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51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INFRAESTRUTURA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Construção de obras de arte especial em rodovias em operação, tais como, viadutos, pontes e passagens subterrâneas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A16A29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DB45F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 60 metros</w:t>
            </w:r>
          </w:p>
        </w:tc>
      </w:tr>
      <w:tr w:rsidR="00DB45FF" w:rsidRPr="0048692A" w:rsidTr="0065702A">
        <w:trPr>
          <w:trHeight w:val="51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INFRAESTRUTURA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Utilização de áreas de empréstimo de material base para leito de rodovia em área inserida em faixa de domínio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52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Revitalização e recuperação de canais de distribuição de água e micro barramentos, utilizados para irrigação em área rural, com interferência em APP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Micro barragens definidas</w:t>
            </w:r>
            <w:r w:rsidR="00A16A29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na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Resolução ADASA 10/2011</w:t>
            </w:r>
          </w:p>
        </w:tc>
      </w:tr>
      <w:tr w:rsidR="00DB45F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Revitalização e recuperação de pequenos e médios barramentos, utilizados irrigação em área rural, desde que possua LO vigente.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Pequenas e Médias barragens definidas na Resolução ADASA 10/2011.</w:t>
            </w:r>
          </w:p>
        </w:tc>
      </w:tr>
      <w:tr w:rsidR="00DB45FF" w:rsidRPr="0048692A" w:rsidTr="0065702A">
        <w:trPr>
          <w:trHeight w:val="51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ou adequação de sistemas de tratamento de efluentes e resíduos oriundos da atividade agropecuária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Retirada de material mineral in natura de estabelecimento rural para recuperação de suas vias internas e de acesso, vedada sua comercialização e vinculada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utilização na própria obra.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DB45FF" w:rsidRPr="0048692A" w:rsidTr="0065702A">
        <w:trPr>
          <w:trHeight w:val="51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Retirada de material mineral </w:t>
            </w:r>
            <w:r w:rsidRPr="00486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in natura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faixa de domínio para recuperação de vias, vedada sua comercialização e vinculada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utilização na própria obra.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DB45F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Nivelamento, </w:t>
            </w:r>
            <w:proofErr w:type="spell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encascalhamento</w:t>
            </w:r>
            <w:proofErr w:type="spell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e/ou aplicação de produto estabilizador de solo para recuperação e manutenção de vias não pavimentadas consolidadas, as quais apresentem interferências com Áreas de Preservação Permanentes, Parques, Unidades de Conservação de Proteção Integral e Unidades de Conservação de Uso Sustentável, exceto APA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Pista de pouso e decolagem de aeronaves pavimentadas sem asfalto ou concreto, sem infraestrutura de apoio (terminal de passageiros ou cargas e hangares), com dimensões de pista inferiores a 1.500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 metros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Todos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65702A" w:rsidP="001E4E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Desassoreamento/reforma/recuperação/melhoria </w:t>
            </w:r>
            <w:r w:rsidR="00DB45F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="001E4E8E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B45F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barragens com captação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A16A29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Captação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="00DB45F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fio d'água</w:t>
            </w:r>
          </w:p>
        </w:tc>
      </w:tr>
      <w:tr w:rsidR="00DB45F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Implantação/remanejamento/adequação/reformas/recuperação/melhorias de redes coletoras de esgotos, as quais apresentem interferência com Áreas de Preservação Permanentes, Parques, Unidades de Conservação de Proteção Integral e Unidades de Conservação de Uso Sustentável, exceto APA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diâmetro ou vazão</w:t>
            </w:r>
          </w:p>
        </w:tc>
      </w:tr>
      <w:tr w:rsidR="00DB45F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657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Adequação/remanejamento/reformas/recuperação/melhorias de interceptores, coletores tronco, emissários, sifões invertidos e linhas de recalque as quais apresentem interferência com Áreas de Preservação Permanentes, Parques, Unidades de Conservação de Proteção Integral e Unidades de Conservação de Uso Sustentável, exceto APA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diâmetro ou vazão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Implantação/operação/ampliação/reformas/recuperação/melhorias de unidades de transporte de esgotos, incluindo interceptores, emissários, coletores tronco, sifões invertidos, estações elevatórias de esgoto (bruto e tratado) e seus respectivos recalques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536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Vazão nominal de projeto 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≤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200L/s</w:t>
            </w:r>
          </w:p>
        </w:tc>
      </w:tr>
      <w:tr w:rsidR="00DB45F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Implantação/remanejamento/adequação/reformas/recuperação/melhorias de redes de distribuição de água, as quais apresentem interferência com Áreas de Preservação Permanentes, Parques, Unidades de Conservação de Proteção Integral e Unidades de Conservação de Uso Sustentável, exceto APA.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diâmetro ou vazão</w:t>
            </w:r>
          </w:p>
        </w:tc>
      </w:tr>
      <w:tr w:rsidR="00DB45FF" w:rsidRPr="0048692A" w:rsidTr="0065702A">
        <w:trPr>
          <w:trHeight w:val="127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657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Implantação/operação/ampliação/reformas/recuperação/melhorias/ampliação de unidades de transporte de água, incluindo adutoras,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adutoras</w:t>
            </w:r>
            <w:proofErr w:type="gram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reservatórios, estações elevatórias e </w:t>
            </w:r>
            <w:proofErr w:type="spellStart"/>
            <w:r w:rsidRPr="00486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boosters</w:t>
            </w:r>
            <w:proofErr w:type="spell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(bruta e tratada) desde as quais apresentem interferência com Áreas de Preservação Permanentes, Parques, Unidades de Conservação de Proteção Integral e Unidades de Conservação de Uso Sustentável, exceto APA.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Vazão nominal de projeto 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≤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250L/s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657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Implantação/operação/ampliação/reformas/recuperação /ampliação/melhorias de unidades de transporte de água, incluindo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adutoras,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adutoras</w:t>
            </w:r>
            <w:proofErr w:type="gram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reservatórios, estações elevatórias e </w:t>
            </w:r>
            <w:proofErr w:type="spellStart"/>
            <w:r w:rsidRPr="00486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boosters</w:t>
            </w:r>
            <w:proofErr w:type="spellEnd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(bruta e tratada)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536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Vazão nominal de projeto &gt;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250L/s e </w:t>
            </w:r>
            <w:r w:rsidR="0053686F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≤ </w:t>
            </w: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1.250L/s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Implantação/ampliação de reservatórios de sistemas abastecimento público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diâmetro ou vazão</w:t>
            </w:r>
          </w:p>
        </w:tc>
      </w:tr>
      <w:tr w:rsidR="00DB45FF" w:rsidRPr="0048692A" w:rsidTr="0065702A">
        <w:trPr>
          <w:trHeight w:val="1020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Reformas/recuperação/melhorias de reservatórios de sistemas de abastecimento público, desde que apresentem interferência com Áreas de Preservação Permanentes, Parques, Unidades de Conservação de Proteção Integral e Unidades de Conservação de Uso Sustentável, exceto APA.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Utilização e disposição de lodos provenientes de Estações de Tratamento de Água e Estações de Tratamento de Esgotos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65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Testes pré-operacionais de máquinas, unidades operacionais, infraestruturas, e equipamentos que necessitem de ajustes e adequações que precedam o ato autorizativo definitivo</w:t>
            </w:r>
            <w:r w:rsidR="001E4E8E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65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Reparo, manutenção, conserto e recuperação de dissipadores, lagoas/bacias de detenção e vertedouro dispositivos de infiltração</w:t>
            </w:r>
            <w:r w:rsidR="001E4E8E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DB45FF" w:rsidRPr="0048692A" w:rsidTr="0065702A">
        <w:trPr>
          <w:trHeight w:val="765"/>
          <w:jc w:val="center"/>
        </w:trPr>
        <w:tc>
          <w:tcPr>
            <w:tcW w:w="306" w:type="pct"/>
            <w:vAlign w:val="center"/>
            <w:hideMark/>
          </w:tcPr>
          <w:p w:rsidR="00DB45FF" w:rsidRPr="0048692A" w:rsidRDefault="00DB45FF" w:rsidP="0065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65702A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20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UTILIDADE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PÚBLICA -SANEAMENTO</w:t>
            </w:r>
            <w:proofErr w:type="gramEnd"/>
          </w:p>
        </w:tc>
        <w:tc>
          <w:tcPr>
            <w:tcW w:w="2519" w:type="pct"/>
            <w:vAlign w:val="center"/>
            <w:hideMark/>
          </w:tcPr>
          <w:p w:rsidR="00DB45FF" w:rsidRPr="0048692A" w:rsidRDefault="00DB45FF" w:rsidP="007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de bocas de lobo, ramais, poços de visita, tubulações e galerias com interligação em sistemas de drenagem pluvial existentes</w:t>
            </w:r>
            <w:r w:rsidR="001E4E8E"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55" w:type="pct"/>
            <w:vAlign w:val="center"/>
            <w:hideMark/>
          </w:tcPr>
          <w:p w:rsidR="00DB45FF" w:rsidRPr="0048692A" w:rsidRDefault="00DB45FF" w:rsidP="007F6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Tubulação com diâmetro &gt; </w:t>
            </w:r>
            <w:proofErr w:type="gramStart"/>
            <w:r w:rsidRPr="0048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400mm</w:t>
            </w:r>
            <w:proofErr w:type="gramEnd"/>
          </w:p>
        </w:tc>
      </w:tr>
    </w:tbl>
    <w:p w:rsidR="001E4E8E" w:rsidRPr="0048692A" w:rsidRDefault="001E4E8E" w:rsidP="00796BE7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sectPr w:rsidR="001E4E8E" w:rsidRPr="0048692A" w:rsidSect="000D32AB">
      <w:headerReference w:type="default" r:id="rId7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62" w:rsidRDefault="00CB7462" w:rsidP="000D32AB">
      <w:pPr>
        <w:spacing w:after="0" w:line="240" w:lineRule="auto"/>
      </w:pPr>
      <w:r>
        <w:separator/>
      </w:r>
    </w:p>
  </w:endnote>
  <w:endnote w:type="continuationSeparator" w:id="0">
    <w:p w:rsidR="00CB7462" w:rsidRDefault="00CB7462" w:rsidP="000D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62" w:rsidRDefault="00CB7462" w:rsidP="000D32AB">
      <w:pPr>
        <w:spacing w:after="0" w:line="240" w:lineRule="auto"/>
      </w:pPr>
      <w:r>
        <w:separator/>
      </w:r>
    </w:p>
  </w:footnote>
  <w:footnote w:type="continuationSeparator" w:id="0">
    <w:p w:rsidR="00CB7462" w:rsidRDefault="00CB7462" w:rsidP="000D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"/>
      <w:gridCol w:w="7641"/>
    </w:tblGrid>
    <w:tr w:rsidR="0002248D" w:rsidTr="0002248D">
      <w:tc>
        <w:tcPr>
          <w:tcW w:w="1539" w:type="dxa"/>
        </w:tcPr>
        <w:p w:rsidR="0002248D" w:rsidRDefault="0002248D" w:rsidP="0002248D">
          <w:pPr>
            <w:ind w:right="33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F0C1D14" wp14:editId="7EC456C9">
                <wp:extent cx="812165" cy="952500"/>
                <wp:effectExtent l="0" t="0" r="698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1" w:type="dxa"/>
          <w:vAlign w:val="center"/>
        </w:tcPr>
        <w:p w:rsidR="000C4014" w:rsidRDefault="000C4014" w:rsidP="000C4014">
          <w:pPr>
            <w:ind w:right="-108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SECRETARIA DE ESTADO DE MEIO AMBIENTE DO DISTRITO FEDERAL</w:t>
          </w:r>
        </w:p>
        <w:p w:rsidR="0002248D" w:rsidRPr="000C4014" w:rsidRDefault="000C4014" w:rsidP="000C4014">
          <w:pPr>
            <w:ind w:right="-108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DE</w:t>
          </w:r>
          <w:r w:rsidR="0002248D" w:rsidRPr="000D32AB">
            <w:rPr>
              <w:rFonts w:ascii="Arial" w:hAnsi="Arial" w:cs="Arial"/>
              <w:b/>
              <w:sz w:val="24"/>
              <w:szCs w:val="24"/>
            </w:rPr>
            <w:t xml:space="preserve"> MEIO AMBIENTE DO DISTRITO FEDERAL</w:t>
          </w:r>
        </w:p>
      </w:tc>
    </w:tr>
  </w:tbl>
  <w:p w:rsidR="000126C5" w:rsidRDefault="00012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B"/>
    <w:rsid w:val="000126C5"/>
    <w:rsid w:val="00014668"/>
    <w:rsid w:val="00015CEE"/>
    <w:rsid w:val="0002248D"/>
    <w:rsid w:val="0004308F"/>
    <w:rsid w:val="000545BC"/>
    <w:rsid w:val="0007006B"/>
    <w:rsid w:val="000A09B5"/>
    <w:rsid w:val="000A3226"/>
    <w:rsid w:val="000C4014"/>
    <w:rsid w:val="000D32AB"/>
    <w:rsid w:val="000D671F"/>
    <w:rsid w:val="00116A9D"/>
    <w:rsid w:val="001A1822"/>
    <w:rsid w:val="001E3F85"/>
    <w:rsid w:val="001E4E8E"/>
    <w:rsid w:val="001F431C"/>
    <w:rsid w:val="00250DD1"/>
    <w:rsid w:val="0026785F"/>
    <w:rsid w:val="00282332"/>
    <w:rsid w:val="003241ED"/>
    <w:rsid w:val="00390E98"/>
    <w:rsid w:val="0042679A"/>
    <w:rsid w:val="004330D0"/>
    <w:rsid w:val="00483B41"/>
    <w:rsid w:val="0048692A"/>
    <w:rsid w:val="004F0BCE"/>
    <w:rsid w:val="005263ED"/>
    <w:rsid w:val="0053686F"/>
    <w:rsid w:val="00654754"/>
    <w:rsid w:val="0065702A"/>
    <w:rsid w:val="006912C5"/>
    <w:rsid w:val="006C3877"/>
    <w:rsid w:val="006C5549"/>
    <w:rsid w:val="00714D46"/>
    <w:rsid w:val="007665C6"/>
    <w:rsid w:val="00796BE7"/>
    <w:rsid w:val="007B6A11"/>
    <w:rsid w:val="007F60A3"/>
    <w:rsid w:val="00827C52"/>
    <w:rsid w:val="00871AD8"/>
    <w:rsid w:val="00891A7F"/>
    <w:rsid w:val="008A0341"/>
    <w:rsid w:val="008E649D"/>
    <w:rsid w:val="00905722"/>
    <w:rsid w:val="009110D2"/>
    <w:rsid w:val="00A16295"/>
    <w:rsid w:val="00A16A29"/>
    <w:rsid w:val="00A534CE"/>
    <w:rsid w:val="00B130D1"/>
    <w:rsid w:val="00B460E7"/>
    <w:rsid w:val="00BC4C17"/>
    <w:rsid w:val="00C06EA7"/>
    <w:rsid w:val="00C649EE"/>
    <w:rsid w:val="00C66EF7"/>
    <w:rsid w:val="00CB7462"/>
    <w:rsid w:val="00CD7C98"/>
    <w:rsid w:val="00D05050"/>
    <w:rsid w:val="00D66ED3"/>
    <w:rsid w:val="00DB10AF"/>
    <w:rsid w:val="00DB45FF"/>
    <w:rsid w:val="00E020A0"/>
    <w:rsid w:val="00E61394"/>
    <w:rsid w:val="00EE6AEE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2AB"/>
  </w:style>
  <w:style w:type="paragraph" w:styleId="Rodap">
    <w:name w:val="footer"/>
    <w:basedOn w:val="Normal"/>
    <w:link w:val="Rodap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2AB"/>
  </w:style>
  <w:style w:type="paragraph" w:styleId="Textodebalo">
    <w:name w:val="Balloon Text"/>
    <w:basedOn w:val="Normal"/>
    <w:link w:val="TextodebaloChar"/>
    <w:uiPriority w:val="99"/>
    <w:semiHidden/>
    <w:unhideWhenUsed/>
    <w:rsid w:val="000D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2A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14D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4D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4D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D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D4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E6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2AB"/>
  </w:style>
  <w:style w:type="paragraph" w:styleId="Rodap">
    <w:name w:val="footer"/>
    <w:basedOn w:val="Normal"/>
    <w:link w:val="Rodap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2AB"/>
  </w:style>
  <w:style w:type="paragraph" w:styleId="Textodebalo">
    <w:name w:val="Balloon Text"/>
    <w:basedOn w:val="Normal"/>
    <w:link w:val="TextodebaloChar"/>
    <w:uiPriority w:val="99"/>
    <w:semiHidden/>
    <w:unhideWhenUsed/>
    <w:rsid w:val="000D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2A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14D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4D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4D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D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D4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E6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2490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Thulio Cunha Moraes</dc:creator>
  <cp:lastModifiedBy>Maricleide Maia Said</cp:lastModifiedBy>
  <cp:revision>13</cp:revision>
  <cp:lastPrinted>2017-08-09T17:15:00Z</cp:lastPrinted>
  <dcterms:created xsi:type="dcterms:W3CDTF">2017-12-06T16:53:00Z</dcterms:created>
  <dcterms:modified xsi:type="dcterms:W3CDTF">2018-02-28T18:46:00Z</dcterms:modified>
</cp:coreProperties>
</file>